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F19" w:rsidRPr="00DD0956" w:rsidRDefault="000C5F19" w:rsidP="00FB3484">
      <w:pPr>
        <w:spacing w:line="276" w:lineRule="auto"/>
        <w:ind w:firstLine="567"/>
        <w:jc w:val="center"/>
        <w:rPr>
          <w:rFonts w:ascii="Sylfaen" w:hAnsi="Sylfaen" w:cs="Sylfaen"/>
          <w:b/>
          <w:sz w:val="28"/>
          <w:lang w:val="ka-GE"/>
        </w:rPr>
      </w:pPr>
      <w:r w:rsidRPr="00DD0956">
        <w:rPr>
          <w:rFonts w:ascii="Sylfaen" w:hAnsi="Sylfaen" w:cs="Sylfaen"/>
          <w:b/>
          <w:sz w:val="28"/>
          <w:lang w:val="ka-GE"/>
        </w:rPr>
        <w:t xml:space="preserve">საქართველოში ახალი კორონავირუსის </w:t>
      </w:r>
      <w:r w:rsidRPr="00DD0956">
        <w:rPr>
          <w:rFonts w:ascii="Sylfaen" w:hAnsi="Sylfaen" w:cs="Sylfaen"/>
          <w:b/>
          <w:sz w:val="28"/>
        </w:rPr>
        <w:t xml:space="preserve">COVID-19 </w:t>
      </w:r>
      <w:r w:rsidRPr="00DD0956">
        <w:rPr>
          <w:rFonts w:ascii="Sylfaen" w:hAnsi="Sylfaen" w:cs="Sylfaen"/>
          <w:b/>
          <w:sz w:val="28"/>
          <w:lang w:val="ka-GE"/>
        </w:rPr>
        <w:t>გავრცელება</w:t>
      </w:r>
      <w:r w:rsidR="00F361C3">
        <w:rPr>
          <w:rFonts w:ascii="Sylfaen" w:hAnsi="Sylfaen" w:cs="Sylfaen"/>
          <w:b/>
          <w:sz w:val="28"/>
          <w:lang w:val="ka-GE"/>
        </w:rPr>
        <w:t>სთან დაკავშირებული ღონისძიებების შესახებ ინფორმაცია</w:t>
      </w:r>
    </w:p>
    <w:p w:rsidR="004A63B3" w:rsidRPr="004A63B3" w:rsidRDefault="004A63B3" w:rsidP="004A63B3">
      <w:pPr>
        <w:rPr>
          <w:highlight w:val="yellow"/>
          <w:lang w:val="ka-GE"/>
        </w:rPr>
      </w:pPr>
    </w:p>
    <w:p w:rsidR="004A63B3" w:rsidRPr="006E272A" w:rsidRDefault="00B95F34" w:rsidP="004A63B3">
      <w:pPr>
        <w:jc w:val="both"/>
        <w:rPr>
          <w:rFonts w:ascii="Sylfaen" w:hAnsi="Sylfaen"/>
          <w:lang w:val="ka-GE"/>
        </w:rPr>
      </w:pPr>
      <w:r>
        <w:rPr>
          <w:rFonts w:ascii="Sylfaen" w:hAnsi="Sylfaen"/>
          <w:lang w:val="ka-GE"/>
        </w:rPr>
        <w:tab/>
      </w:r>
      <w:r w:rsidR="004A63B3" w:rsidRPr="006E272A">
        <w:rPr>
          <w:rFonts w:ascii="Sylfaen" w:hAnsi="Sylfaen"/>
          <w:lang w:val="ka-GE"/>
        </w:rPr>
        <w:t>2020 წელს ახალი კორონავირუსის გავრცელებამ მნიშვნელოვანი რყევები გამოიწვია გლობალურ ეკონომიკაში.</w:t>
      </w:r>
      <w:r w:rsidR="00DD0956">
        <w:rPr>
          <w:rFonts w:ascii="Sylfaen" w:hAnsi="Sylfaen"/>
          <w:lang w:val="ka-GE"/>
        </w:rPr>
        <w:t xml:space="preserve"> </w:t>
      </w:r>
      <w:r w:rsidR="004A63B3" w:rsidRPr="006E272A">
        <w:rPr>
          <w:rFonts w:ascii="Sylfaen" w:hAnsi="Sylfaen"/>
          <w:lang w:val="ka-GE"/>
        </w:rPr>
        <w:t>პანდემიამ ეკონომიკური რეცესია გამოიწვია საქართველოშიც, რის შედეგადაც მივიღეთ რეალური ეკონომიკური კლება 6,2%-ის ოდენობით.</w:t>
      </w:r>
    </w:p>
    <w:p w:rsidR="004A63B3" w:rsidRPr="006E272A" w:rsidRDefault="004A63B3" w:rsidP="004A63B3">
      <w:pPr>
        <w:jc w:val="both"/>
        <w:rPr>
          <w:rFonts w:ascii="Sylfaen" w:hAnsi="Sylfaen"/>
          <w:lang w:val="ka-GE"/>
        </w:rPr>
      </w:pPr>
      <w:r w:rsidRPr="006E272A">
        <w:rPr>
          <w:rFonts w:ascii="Sylfaen" w:hAnsi="Sylfaen"/>
          <w:lang w:val="ka-GE"/>
        </w:rPr>
        <w:tab/>
        <w:t xml:space="preserve">„საქართველოს 2021 წლის სახელმწიფო ბიუჯეტის შესახებ“ საქართველოს კანონი  დამტკიცდა გასული წლის დეკემბერში, რა დროსაც საქართველოში ახალი კორონავირუსის </w:t>
      </w:r>
      <w:r w:rsidRPr="006E272A">
        <w:rPr>
          <w:rFonts w:ascii="Sylfaen" w:hAnsi="Sylfaen"/>
        </w:rPr>
        <w:t xml:space="preserve">COVID-19 </w:t>
      </w:r>
      <w:r w:rsidRPr="006E272A">
        <w:rPr>
          <w:rFonts w:ascii="Sylfaen" w:hAnsi="Sylfaen"/>
          <w:lang w:val="ka-GE"/>
        </w:rPr>
        <w:t>გავრცელების მაჩვენებელი ყველაზე მაღალ ნიშნულზე იყო და შესაბამისად მნიშვნელოვანი შეზღუდვები მოქმედებდა, რაც დიდ გავლენას ახდენდა ეკონომიკის განვითარებაზე.</w:t>
      </w:r>
    </w:p>
    <w:p w:rsidR="004A63B3" w:rsidRPr="006E272A" w:rsidRDefault="004A63B3" w:rsidP="004A63B3">
      <w:pPr>
        <w:jc w:val="both"/>
      </w:pPr>
      <w:r w:rsidRPr="006E272A">
        <w:rPr>
          <w:rFonts w:ascii="Sylfaen" w:hAnsi="Sylfaen"/>
          <w:lang w:val="ka-GE"/>
        </w:rPr>
        <w:tab/>
        <w:t xml:space="preserve">2020 წლის ბოლოსთვის არსებული ვითარების გათვალისწინებით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ბიუჯეტი, </w:t>
      </w:r>
      <w:r w:rsidRPr="006E272A">
        <w:rPr>
          <w:rFonts w:ascii="Sylfaen" w:hAnsi="Sylfaen" w:cs="Sylfaen"/>
        </w:rPr>
        <w:t>შეზღ</w:t>
      </w:r>
      <w:r w:rsidRPr="006E272A">
        <w:rPr>
          <w:rFonts w:ascii="Sylfaen" w:hAnsi="Sylfaen" w:cs="Sylfaen"/>
          <w:lang w:val="ka-GE"/>
        </w:rPr>
        <w:t>უ</w:t>
      </w:r>
      <w:r w:rsidRPr="006E272A">
        <w:rPr>
          <w:rFonts w:ascii="Sylfaen" w:hAnsi="Sylfaen" w:cs="Sylfaen"/>
        </w:rPr>
        <w:t>დული</w:t>
      </w:r>
      <w:r w:rsidRPr="006E272A">
        <w:t xml:space="preserve"> </w:t>
      </w:r>
      <w:r w:rsidRPr="006E272A">
        <w:rPr>
          <w:rFonts w:ascii="Sylfaen" w:hAnsi="Sylfaen" w:cs="Sylfaen"/>
        </w:rPr>
        <w:t>ფისკალური</w:t>
      </w:r>
      <w:r w:rsidRPr="006E272A">
        <w:t xml:space="preserve"> </w:t>
      </w:r>
      <w:r w:rsidRPr="006E272A">
        <w:rPr>
          <w:rFonts w:ascii="Sylfaen" w:hAnsi="Sylfaen" w:cs="Sylfaen"/>
          <w:lang w:val="ka-GE"/>
        </w:rPr>
        <w:t>რესურსის მიუხედავად,</w:t>
      </w:r>
      <w:r w:rsidRPr="006E272A">
        <w:rPr>
          <w:rFonts w:ascii="Sylfaen" w:hAnsi="Sylfaen"/>
          <w:lang w:val="ka-GE"/>
        </w:rPr>
        <w:t xml:space="preserve"> ითვალისწინებდა მოსახლეობის და ბიზნესის მხარდამჭერი პროგრამების და ჯანმრთელობის დაცვის ღონისძიებების დაფინანსებას.</w:t>
      </w:r>
    </w:p>
    <w:p w:rsidR="004A63B3" w:rsidRPr="006E272A" w:rsidRDefault="004A63B3" w:rsidP="004A63B3">
      <w:pPr>
        <w:jc w:val="both"/>
        <w:rPr>
          <w:rFonts w:ascii="Sylfaen" w:hAnsi="Sylfaen"/>
          <w:lang w:val="ka-GE"/>
        </w:rPr>
      </w:pPr>
      <w:r w:rsidRPr="006E272A">
        <w:rPr>
          <w:rFonts w:ascii="Sylfaen" w:hAnsi="Sylfaen"/>
          <w:lang w:val="ka-GE"/>
        </w:rPr>
        <w:tab/>
        <w:t xml:space="preserve">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ეკონომიკური განვითარების ტენდენციებში დადებითი დინამიკა პირველად მარტში დაფიქსირდა, თუმცა ჯამურად, პირველ კვარტალში ეკონომიკური კლების მაჩვენებელმა 4,5% შეადგინა. </w:t>
      </w:r>
    </w:p>
    <w:p w:rsidR="004A63B3" w:rsidRPr="006E272A" w:rsidRDefault="004A63B3" w:rsidP="004A63B3">
      <w:pPr>
        <w:jc w:val="both"/>
        <w:rPr>
          <w:rFonts w:ascii="Sylfaen" w:hAnsi="Sylfaen"/>
          <w:lang w:val="ka-GE"/>
        </w:rPr>
      </w:pPr>
      <w:r w:rsidRPr="006E272A">
        <w:rPr>
          <w:rFonts w:ascii="Sylfaen" w:hAnsi="Sylfaen"/>
          <w:lang w:val="ka-GE"/>
        </w:rPr>
        <w:tab/>
      </w:r>
      <w:r w:rsidR="00137400" w:rsidRPr="00D76D17">
        <w:rPr>
          <w:rFonts w:ascii="Sylfaen" w:hAnsi="Sylfaen"/>
          <w:lang w:val="ka-GE"/>
        </w:rPr>
        <w:t>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 საბოლოო ჯამში ეკონომიკური ზრდის მაჩვენებელმა აპრილში 44,8% შეადგინა</w:t>
      </w:r>
      <w:r w:rsidR="00137400" w:rsidRPr="00D76D17">
        <w:rPr>
          <w:rFonts w:ascii="Sylfaen" w:hAnsi="Sylfaen"/>
        </w:rPr>
        <w:t>,</w:t>
      </w:r>
      <w:r w:rsidR="00137400" w:rsidRPr="00D76D17">
        <w:rPr>
          <w:rFonts w:ascii="Sylfaen" w:hAnsi="Sylfaen"/>
          <w:lang w:val="ka-GE"/>
        </w:rPr>
        <w:t xml:space="preserve"> მაღალი ეკონომიკური მაჩვენებლები შენარჩუნდა მაისი-ივნისშიც და შედეგად ეკონომიკურმა ზრდამ შესაბამისად 25,8% და 18.7% შეადგინა. ჯამში წინასწარი მონაცემებით 6 თვის ეკონომიკური ზრდა 12,7%-ს შეადგენს.</w:t>
      </w:r>
    </w:p>
    <w:p w:rsidR="004A63B3" w:rsidRPr="006E272A" w:rsidRDefault="004A63B3" w:rsidP="004A63B3">
      <w:pPr>
        <w:jc w:val="both"/>
        <w:rPr>
          <w:rFonts w:ascii="Sylfaen" w:hAnsi="Sylfaen"/>
          <w:lang w:val="ka-GE"/>
        </w:rPr>
      </w:pPr>
      <w:r w:rsidRPr="006E272A">
        <w:rPr>
          <w:rFonts w:ascii="Sylfaen" w:hAnsi="Sylfaen"/>
          <w:lang w:val="ka-GE"/>
        </w:rPr>
        <w:tab/>
        <w:t xml:space="preserve">დადებითი ეკონომიკური ტენდენციების გათვალისწინებით, </w:t>
      </w:r>
      <w:r w:rsidR="00B95F34">
        <w:rPr>
          <w:rFonts w:ascii="Sylfaen" w:hAnsi="Sylfaen"/>
          <w:lang w:val="ka-GE"/>
        </w:rPr>
        <w:t>საქართველოს მთავრობამ მიმდინარე წლის ივლისში განაახლა ეკონომიკური ზრდის მაჩვ</w:t>
      </w:r>
      <w:r w:rsidR="002A094C">
        <w:rPr>
          <w:rFonts w:ascii="Sylfaen" w:hAnsi="Sylfaen"/>
          <w:lang w:val="ka-GE"/>
        </w:rPr>
        <w:t xml:space="preserve">ენებლები. </w:t>
      </w:r>
      <w:r w:rsidR="002A094C" w:rsidRPr="006E272A">
        <w:rPr>
          <w:rFonts w:ascii="Sylfaen" w:hAnsi="Sylfaen"/>
          <w:lang w:val="ka-GE"/>
        </w:rPr>
        <w:t xml:space="preserve">განახლებული მაკროეკონომიკური პარამეტრების მიხედვით, </w:t>
      </w:r>
      <w:r w:rsidR="002A094C">
        <w:rPr>
          <w:rFonts w:ascii="Sylfaen" w:hAnsi="Sylfaen"/>
          <w:lang w:val="ka-GE"/>
        </w:rPr>
        <w:t xml:space="preserve">საბაზო სცენარში </w:t>
      </w:r>
      <w:r w:rsidR="002A094C" w:rsidRPr="006E272A">
        <w:rPr>
          <w:rFonts w:ascii="Sylfaen" w:hAnsi="Sylfaen"/>
          <w:lang w:val="ka-GE"/>
        </w:rPr>
        <w:t>2021 წლის რეალური ეკონომიკური ზრდის პროგნოზი თავდაპირველი 4.3%-დან იზრდება 7.7%-მდე. ასევე იზრდება მთლიანი შიდა პროდუქტის დეფლატორი 3,8%-დან 7.5%-მდე</w:t>
      </w:r>
      <w:r w:rsidR="002A094C">
        <w:rPr>
          <w:rFonts w:ascii="Sylfaen" w:hAnsi="Sylfaen"/>
          <w:lang w:val="ka-GE"/>
        </w:rPr>
        <w:t>.</w:t>
      </w:r>
      <w:r w:rsidR="002A094C">
        <w:rPr>
          <w:rFonts w:ascii="Sylfaen" w:hAnsi="Sylfaen"/>
          <w:lang w:val="ka-GE"/>
        </w:rPr>
        <w:tab/>
      </w:r>
      <w:r w:rsidRPr="006E272A">
        <w:rPr>
          <w:rFonts w:ascii="Sylfaen" w:hAnsi="Sylfaen"/>
          <w:lang w:val="ka-GE"/>
        </w:rPr>
        <w:t>რეალური ეკონომიკური ზრდისა და მშპ-ის დეფლატორის განახლებული პროგნოზების მიხედვით გადაანგარიშებული მთლიანი შიდა პროდუქტის ნომინალური მაჩვენებელი 57,2 მლრდ ლარს შეადგენს.</w:t>
      </w:r>
    </w:p>
    <w:p w:rsidR="004A63B3" w:rsidRPr="00A92266" w:rsidRDefault="004A63B3" w:rsidP="00A92266">
      <w:pPr>
        <w:jc w:val="both"/>
        <w:rPr>
          <w:rFonts w:ascii="Sylfaen" w:hAnsi="Sylfaen"/>
        </w:rPr>
      </w:pPr>
      <w:r w:rsidRPr="006E272A">
        <w:rPr>
          <w:rFonts w:ascii="Sylfaen" w:hAnsi="Sylfaen"/>
          <w:lang w:val="ka-GE"/>
        </w:rPr>
        <w:tab/>
        <w:t>ეკონომიკური აღდგენის პარალელურად დღის წესრიგში დადგა 2021 წლის ბიუჯეტში ცვლილებების მომზადება</w:t>
      </w:r>
      <w:r w:rsidR="00DD0956">
        <w:rPr>
          <w:rFonts w:ascii="Sylfaen" w:hAnsi="Sylfaen"/>
          <w:lang w:val="ka-GE"/>
        </w:rPr>
        <w:t>, რომელიც საქართველოს პარლამენტის მიერ დამტკიცდა მიმდინარე წლის ივლისში.</w:t>
      </w:r>
      <w:r w:rsidRPr="006E272A">
        <w:rPr>
          <w:rFonts w:ascii="Sylfaen" w:hAnsi="Sylfaen"/>
        </w:rPr>
        <w:t xml:space="preserve"> </w:t>
      </w:r>
      <w:r w:rsidR="00A92266">
        <w:rPr>
          <w:rFonts w:ascii="Sylfaen" w:hAnsi="Sylfaen"/>
          <w:lang w:val="ka-GE"/>
        </w:rPr>
        <w:t xml:space="preserve">2021 წლის სახელმწიფო ბიუჯეტის შესრულების 6 თვის მიმოხილვა ეყრდნობა 2021 წლის სახელმწიფო ბიუჯეტის თავდაპირველ გეგმებს, ვინაიდან საანგარიშო პერიოდში ცვლილები ჯერ შეტანილი არ იყო „საქართველოს 2021 წლის სახელმწიფო ბიუჯეტის შესახებ“ საქართველოს კანონში. ივლისის თვეში განხორციელებული ცვლილებების ერთ-ერთ მიზანს წარმოადგენდა </w:t>
      </w:r>
      <w:r w:rsidRPr="00A92266">
        <w:rPr>
          <w:rFonts w:ascii="Sylfaen" w:hAnsi="Sylfaen"/>
        </w:rPr>
        <w:t>COVID-19-</w:t>
      </w:r>
      <w:r w:rsidRPr="00A92266">
        <w:rPr>
          <w:rFonts w:ascii="Sylfaen" w:hAnsi="Sylfaen"/>
          <w:lang w:val="ka-GE"/>
        </w:rPr>
        <w:t>ის მართვა და მასთან დაკავშირებული ჯანმრთელობის დაცვის ღონისძიებები</w:t>
      </w:r>
      <w:r w:rsidR="00A92266" w:rsidRPr="00A92266">
        <w:rPr>
          <w:rFonts w:ascii="Sylfaen" w:hAnsi="Sylfaen"/>
          <w:lang w:val="ka-GE"/>
        </w:rPr>
        <w:t xml:space="preserve">ს დასაფინანსებლად დამატებითი რესურსების მიმართვა, კერძოდ 2021 წლისათვის </w:t>
      </w:r>
      <w:r w:rsidRPr="00A92266">
        <w:rPr>
          <w:rFonts w:ascii="Sylfaen" w:hAnsi="Sylfaen"/>
          <w:lang w:val="ka-GE"/>
        </w:rPr>
        <w:t>გაზრდილ</w:t>
      </w:r>
      <w:r w:rsidRPr="006E272A">
        <w:rPr>
          <w:rFonts w:ascii="Sylfaen" w:hAnsi="Sylfaen"/>
          <w:lang w:val="ka-GE"/>
        </w:rPr>
        <w:t>ია პანდემიის მართვასთან დაკავშირებული ჯანდაცვის დანახარჯების დაფინანსება, ინფიცირებულთა მკურნალობის, ვაქცინაციის და ზოგადად პანდემიის მართვისთვის საჭირო ხარჯების დასაფინანსებლად.</w:t>
      </w:r>
    </w:p>
    <w:p w:rsidR="004A63B3" w:rsidRPr="006E272A" w:rsidRDefault="004A63B3" w:rsidP="004A63B3">
      <w:pPr>
        <w:pStyle w:val="ListParagraph"/>
        <w:jc w:val="both"/>
        <w:rPr>
          <w:rFonts w:ascii="Sylfaen" w:hAnsi="Sylfaen"/>
          <w:lang w:val="ka-GE"/>
        </w:rPr>
      </w:pPr>
    </w:p>
    <w:p w:rsidR="000C5F19" w:rsidRPr="00925E4F" w:rsidRDefault="000C5F19" w:rsidP="004A63B3">
      <w:pPr>
        <w:pStyle w:val="Heading1"/>
        <w:spacing w:line="240" w:lineRule="auto"/>
        <w:jc w:val="center"/>
        <w:rPr>
          <w:rFonts w:ascii="Sylfaen" w:hAnsi="Sylfaen" w:cs="Sylfaen"/>
          <w:b/>
          <w:sz w:val="22"/>
          <w:szCs w:val="22"/>
          <w:lang w:val="ka-GE"/>
        </w:rPr>
      </w:pPr>
      <w:r w:rsidRPr="00925E4F">
        <w:rPr>
          <w:rFonts w:ascii="Sylfaen" w:hAnsi="Sylfaen" w:cs="Sylfaen"/>
          <w:b/>
          <w:sz w:val="22"/>
          <w:szCs w:val="22"/>
          <w:lang w:val="ka-GE"/>
        </w:rPr>
        <w:t>საქართველოში ახალი კორონავირუსის (COVID-19)</w:t>
      </w:r>
      <w:r w:rsidR="00565AAE" w:rsidRPr="00925E4F">
        <w:rPr>
          <w:rFonts w:ascii="Sylfaen" w:hAnsi="Sylfaen" w:cs="Sylfaen"/>
          <w:b/>
          <w:sz w:val="22"/>
          <w:szCs w:val="22"/>
          <w:lang w:val="ka-GE"/>
        </w:rPr>
        <w:t xml:space="preserve"> პანდემიის</w:t>
      </w:r>
      <w:r w:rsidRPr="00925E4F">
        <w:rPr>
          <w:rFonts w:ascii="Sylfaen" w:hAnsi="Sylfaen" w:cs="Sylfaen"/>
          <w:b/>
          <w:sz w:val="22"/>
          <w:szCs w:val="22"/>
          <w:lang w:val="ka-GE"/>
        </w:rPr>
        <w:t xml:space="preserve"> გამო, ანტიკრიზისული გეგმის ფარგლებში საქართველოს მთავრობის მიერ განხორციელებული ღონისძიებები</w:t>
      </w:r>
    </w:p>
    <w:p w:rsidR="000C5F19" w:rsidRPr="00EE1ECF" w:rsidRDefault="000C5F19" w:rsidP="001E2350">
      <w:pPr>
        <w:spacing w:after="0" w:line="240" w:lineRule="auto"/>
        <w:jc w:val="both"/>
        <w:rPr>
          <w:rFonts w:ascii="Sylfaen" w:hAnsi="Sylfaen"/>
          <w:color w:val="000000" w:themeColor="text1"/>
          <w:highlight w:val="yellow"/>
          <w:lang w:val="ka-GE"/>
        </w:rPr>
      </w:pPr>
    </w:p>
    <w:p w:rsidR="00925E4F" w:rsidRDefault="00925E4F" w:rsidP="001E2350">
      <w:pPr>
        <w:spacing w:after="0" w:line="240" w:lineRule="auto"/>
        <w:ind w:firstLine="720"/>
        <w:jc w:val="both"/>
        <w:rPr>
          <w:rFonts w:ascii="Sylfaen" w:hAnsi="Sylfaen"/>
          <w:lang w:val="ka-GE"/>
        </w:rPr>
      </w:pPr>
      <w:r w:rsidRPr="00FB3484">
        <w:rPr>
          <w:rFonts w:ascii="Sylfaen" w:hAnsi="Sylfaen"/>
          <w:color w:val="000000" w:themeColor="text1"/>
          <w:lang w:val="ka-GE"/>
        </w:rPr>
        <w:t xml:space="preserve">საქართველოს მთავრობის მიერ შემუშვებული ანტიკრიზისული გეგმით გათვალისწინებული ღონისძიებების დასაფინანსებლად, </w:t>
      </w:r>
      <w:r w:rsidRPr="00FB3484">
        <w:rPr>
          <w:rFonts w:ascii="Sylfaen" w:hAnsi="Sylfaen" w:cs="Sylfaen"/>
          <w:color w:val="000000"/>
          <w:lang w:val="ka-GE"/>
        </w:rPr>
        <w:t xml:space="preserve">საქართველოს ფინანსთა სამინისტრომ </w:t>
      </w:r>
      <w:r w:rsidR="00A92266">
        <w:rPr>
          <w:rFonts w:ascii="Sylfaen" w:hAnsi="Sylfaen" w:cs="Sylfaen"/>
          <w:color w:val="000000"/>
          <w:lang w:val="ka-GE"/>
        </w:rPr>
        <w:t xml:space="preserve">2020-2021 წლებში </w:t>
      </w:r>
      <w:r w:rsidRPr="00FB3484">
        <w:rPr>
          <w:rFonts w:ascii="Sylfaen" w:hAnsi="Sylfaen" w:cs="Sylfaen"/>
          <w:color w:val="000000"/>
        </w:rPr>
        <w:t xml:space="preserve">წარმატებით დაასრულა მოლაპარაკებები </w:t>
      </w:r>
      <w:r w:rsidRPr="00FB3484">
        <w:rPr>
          <w:rFonts w:ascii="Sylfaen" w:hAnsi="Sylfaen" w:cs="Sylfaen"/>
          <w:color w:val="000000"/>
          <w:lang w:val="ka-GE"/>
        </w:rPr>
        <w:t>საერთაშორისო საფინანსო ინსტიტუტებთან, მათ შორის საერთაშორისო სავალუტო ფონდთან და მსოფლიო ბანკთან</w:t>
      </w:r>
      <w:r>
        <w:rPr>
          <w:rFonts w:ascii="Sylfaen" w:hAnsi="Sylfaen" w:cs="Sylfaen"/>
          <w:color w:val="000000"/>
          <w:lang w:val="ka-GE"/>
        </w:rPr>
        <w:t>,</w:t>
      </w:r>
      <w:r w:rsidRPr="00FB3484">
        <w:rPr>
          <w:rFonts w:ascii="Sylfaen" w:hAnsi="Sylfaen" w:cs="Sylfaen"/>
          <w:color w:val="000000"/>
          <w:lang w:val="ka-GE"/>
        </w:rPr>
        <w:t xml:space="preserve"> დონორული დაფინანსების მობილიზების მიზნით. </w:t>
      </w:r>
      <w:r w:rsidRPr="005F253B">
        <w:rPr>
          <w:rFonts w:ascii="Sylfaen" w:hAnsi="Sylfaen"/>
          <w:lang w:val="ka-GE"/>
        </w:rPr>
        <w:t>შედეგად 2020</w:t>
      </w:r>
      <w:r>
        <w:rPr>
          <w:rFonts w:ascii="Sylfaen" w:hAnsi="Sylfaen"/>
          <w:lang w:val="ka-GE"/>
        </w:rPr>
        <w:t>-2021</w:t>
      </w:r>
      <w:r w:rsidRPr="005F253B">
        <w:rPr>
          <w:rFonts w:ascii="Sylfaen" w:hAnsi="Sylfaen"/>
          <w:lang w:val="ka-GE"/>
        </w:rPr>
        <w:t xml:space="preserve"> წელს, მიღწეულ იქნა შეთანხმება</w:t>
      </w:r>
      <w:r>
        <w:rPr>
          <w:rFonts w:ascii="Sylfaen" w:hAnsi="Sylfaen"/>
          <w:lang w:val="ka-GE"/>
        </w:rPr>
        <w:t xml:space="preserve"> 1.95</w:t>
      </w:r>
      <w:r w:rsidRPr="005F253B">
        <w:rPr>
          <w:rFonts w:ascii="Sylfaen" w:hAnsi="Sylfaen"/>
          <w:lang w:val="ka-GE"/>
        </w:rPr>
        <w:t xml:space="preserve"> მლრდ ევროზე</w:t>
      </w:r>
      <w:r>
        <w:rPr>
          <w:rFonts w:ascii="Sylfaen" w:hAnsi="Sylfaen"/>
          <w:lang w:val="ka-GE"/>
        </w:rPr>
        <w:t xml:space="preserve"> (2.34</w:t>
      </w:r>
      <w:r w:rsidRPr="005F253B">
        <w:rPr>
          <w:rFonts w:ascii="Sylfaen" w:hAnsi="Sylfaen"/>
          <w:lang w:val="ka-GE"/>
        </w:rPr>
        <w:t xml:space="preserve"> მლრდ აშშ დოლარი) მეტი რესურსის მოზიდვის თაობაზე. </w:t>
      </w:r>
      <w:r w:rsidRPr="005F253B">
        <w:rPr>
          <w:rFonts w:ascii="Sylfaen" w:hAnsi="Sylfaen"/>
        </w:rPr>
        <w:t>2020</w:t>
      </w:r>
      <w:r>
        <w:rPr>
          <w:rFonts w:ascii="Sylfaen" w:hAnsi="Sylfaen"/>
          <w:lang w:val="ka-GE"/>
        </w:rPr>
        <w:t>-2021</w:t>
      </w:r>
      <w:r w:rsidRPr="005F253B">
        <w:rPr>
          <w:rFonts w:ascii="Sylfaen" w:hAnsi="Sylfaen"/>
        </w:rPr>
        <w:t xml:space="preserve"> </w:t>
      </w:r>
      <w:r>
        <w:rPr>
          <w:rFonts w:ascii="Sylfaen" w:hAnsi="Sylfaen"/>
          <w:lang w:val="ka-GE"/>
        </w:rPr>
        <w:t xml:space="preserve">წლის 6 თვის მდგომარეობით </w:t>
      </w:r>
      <w:r w:rsidRPr="005F253B">
        <w:rPr>
          <w:rFonts w:ascii="Sylfaen" w:hAnsi="Sylfaen"/>
          <w:lang w:val="ka-GE"/>
        </w:rPr>
        <w:t>უკვე ხელმოწერილი ხელშეკრულებების მთლიანმა რესურსმა შეადგინა</w:t>
      </w:r>
      <w:r>
        <w:rPr>
          <w:rFonts w:ascii="Sylfaen" w:hAnsi="Sylfaen"/>
          <w:lang w:val="ka-GE"/>
        </w:rPr>
        <w:t xml:space="preserve"> 1.84</w:t>
      </w:r>
      <w:r w:rsidRPr="005F253B">
        <w:rPr>
          <w:rFonts w:ascii="Sylfaen" w:hAnsi="Sylfaen"/>
          <w:lang w:val="ka-GE"/>
        </w:rPr>
        <w:t xml:space="preserve"> მლრდ ევრო</w:t>
      </w:r>
      <w:r>
        <w:rPr>
          <w:rFonts w:ascii="Sylfaen" w:hAnsi="Sylfaen"/>
          <w:lang w:val="ka-GE"/>
        </w:rPr>
        <w:t xml:space="preserve"> (2.20</w:t>
      </w:r>
      <w:r w:rsidRPr="005F253B">
        <w:rPr>
          <w:rFonts w:ascii="Sylfaen" w:hAnsi="Sylfaen"/>
          <w:lang w:val="ka-GE"/>
        </w:rPr>
        <w:t xml:space="preserve"> მლრდ აშშ დოლარი), საიდანაც</w:t>
      </w:r>
      <w:r>
        <w:rPr>
          <w:rFonts w:ascii="Sylfaen" w:hAnsi="Sylfaen"/>
          <w:lang w:val="ka-GE"/>
        </w:rPr>
        <w:t xml:space="preserve"> 1.68</w:t>
      </w:r>
      <w:r w:rsidRPr="005F253B">
        <w:rPr>
          <w:rFonts w:ascii="Sylfaen" w:hAnsi="Sylfaen"/>
          <w:lang w:val="ka-GE"/>
        </w:rPr>
        <w:t xml:space="preserve"> მლრდ ევრო</w:t>
      </w:r>
      <w:r>
        <w:rPr>
          <w:rFonts w:ascii="Sylfaen" w:hAnsi="Sylfaen"/>
          <w:lang w:val="ka-GE"/>
        </w:rPr>
        <w:t xml:space="preserve"> (2.01</w:t>
      </w:r>
      <w:r w:rsidRPr="005F253B">
        <w:rPr>
          <w:rFonts w:ascii="Sylfaen" w:hAnsi="Sylfaen"/>
          <w:lang w:val="ka-GE"/>
        </w:rPr>
        <w:t xml:space="preserve"> მლრდ დოლარი) იყო პანდემიის გამოწვევებზე საპასუხოდ სპეციალურად და დამატებით მოზიდული თანხა. აღნიშნული რესურსიდან, 2021 წლის </w:t>
      </w:r>
      <w:r>
        <w:rPr>
          <w:rFonts w:ascii="Sylfaen" w:hAnsi="Sylfaen"/>
          <w:lang w:val="ka-GE"/>
        </w:rPr>
        <w:t>6 თვის</w:t>
      </w:r>
      <w:r w:rsidRPr="005F253B">
        <w:rPr>
          <w:rFonts w:ascii="Sylfaen" w:hAnsi="Sylfaen"/>
          <w:lang w:val="ka-GE"/>
        </w:rPr>
        <w:t xml:space="preserve"> მდგომარეობით, ჩამორიცხულ იქნა</w:t>
      </w:r>
      <w:r>
        <w:rPr>
          <w:rFonts w:ascii="Sylfaen" w:hAnsi="Sylfaen"/>
          <w:lang w:val="ka-GE"/>
        </w:rPr>
        <w:t xml:space="preserve"> 1.5</w:t>
      </w:r>
      <w:r w:rsidRPr="005F253B">
        <w:rPr>
          <w:rFonts w:ascii="Sylfaen" w:hAnsi="Sylfaen"/>
          <w:lang w:val="ka-GE"/>
        </w:rPr>
        <w:t xml:space="preserve"> მლრდ ევრო</w:t>
      </w:r>
      <w:r>
        <w:rPr>
          <w:rFonts w:ascii="Sylfaen" w:hAnsi="Sylfaen"/>
          <w:lang w:val="ka-GE"/>
        </w:rPr>
        <w:t xml:space="preserve"> (1.8</w:t>
      </w:r>
      <w:r w:rsidRPr="005F253B">
        <w:rPr>
          <w:rFonts w:ascii="Sylfaen" w:hAnsi="Sylfaen"/>
          <w:lang w:val="ka-GE"/>
        </w:rPr>
        <w:t xml:space="preserve"> მლრდ აშშ დოლარი) ძირითადად საბიუჯეტო დახმარების ტიპის სესხების სახით, რაც გულისხმობს რომ ჩამორიცხული რესურსი მიიმართა სწორედ პანდემიასთან დაკავშირებული საჭიროებების დასაფინანსებლად.</w:t>
      </w:r>
    </w:p>
    <w:p w:rsidR="002F0883" w:rsidRDefault="002F0883" w:rsidP="00FB3484">
      <w:pPr>
        <w:spacing w:after="0" w:line="276" w:lineRule="auto"/>
        <w:jc w:val="both"/>
        <w:rPr>
          <w:rFonts w:ascii="Sylfaen" w:hAnsi="Sylfaen"/>
          <w:highlight w:val="yellow"/>
          <w:lang w:val="ka-GE"/>
        </w:rPr>
      </w:pPr>
    </w:p>
    <w:tbl>
      <w:tblPr>
        <w:tblW w:w="5334" w:type="pct"/>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821"/>
        <w:gridCol w:w="551"/>
        <w:gridCol w:w="863"/>
        <w:gridCol w:w="852"/>
        <w:gridCol w:w="852"/>
        <w:gridCol w:w="567"/>
        <w:gridCol w:w="852"/>
        <w:gridCol w:w="852"/>
        <w:gridCol w:w="1272"/>
      </w:tblGrid>
      <w:tr w:rsidR="002E3AF6" w:rsidRPr="00B4075E" w:rsidTr="001345DF">
        <w:trPr>
          <w:cantSplit/>
          <w:trHeight w:val="1767"/>
          <w:tblHeader/>
        </w:trPr>
        <w:tc>
          <w:tcPr>
            <w:tcW w:w="2099"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b/>
                <w:bCs/>
                <w:color w:val="000000"/>
                <w:sz w:val="14"/>
                <w:szCs w:val="14"/>
              </w:rPr>
            </w:pPr>
            <w:r w:rsidRPr="00B4075E">
              <w:rPr>
                <w:rFonts w:ascii="Sylfaen" w:eastAsia="Times New Roman" w:hAnsi="Sylfaen" w:cs="Calibri"/>
                <w:b/>
                <w:bCs/>
                <w:color w:val="000000"/>
                <w:sz w:val="14"/>
                <w:szCs w:val="14"/>
              </w:rPr>
              <w:t>დასახელება</w:t>
            </w:r>
          </w:p>
        </w:tc>
        <w:tc>
          <w:tcPr>
            <w:tcW w:w="240" w:type="pct"/>
            <w:shd w:val="clear" w:color="auto" w:fill="auto"/>
            <w:noWrap/>
            <w:textDirection w:val="btLr"/>
            <w:vAlign w:val="center"/>
            <w:hideMark/>
          </w:tcPr>
          <w:p w:rsidR="002E3AF6" w:rsidRPr="00B4075E" w:rsidRDefault="002E3AF6" w:rsidP="002E3AF6">
            <w:pPr>
              <w:spacing w:after="0" w:line="240" w:lineRule="auto"/>
              <w:ind w:left="113" w:right="113"/>
              <w:jc w:val="center"/>
              <w:rPr>
                <w:rFonts w:ascii="Sylfaen" w:eastAsia="Times New Roman" w:hAnsi="Sylfaen" w:cs="Calibri"/>
                <w:b/>
                <w:bCs/>
                <w:color w:val="000000"/>
                <w:sz w:val="14"/>
                <w:szCs w:val="14"/>
              </w:rPr>
            </w:pPr>
            <w:r w:rsidRPr="00B4075E">
              <w:rPr>
                <w:rFonts w:ascii="Sylfaen" w:eastAsia="Times New Roman" w:hAnsi="Sylfaen" w:cs="Calibri"/>
                <w:b/>
                <w:bCs/>
                <w:color w:val="000000"/>
                <w:sz w:val="14"/>
                <w:szCs w:val="14"/>
                <w:lang w:val="ka-GE"/>
              </w:rPr>
              <w:t>დონორი</w:t>
            </w:r>
            <w:r w:rsidRPr="00B4075E">
              <w:rPr>
                <w:rFonts w:ascii="Sylfaen" w:eastAsia="Times New Roman" w:hAnsi="Sylfaen" w:cs="Calibri"/>
                <w:b/>
                <w:bCs/>
                <w:color w:val="000000"/>
                <w:sz w:val="14"/>
                <w:szCs w:val="14"/>
              </w:rPr>
              <w:t> </w:t>
            </w:r>
          </w:p>
        </w:tc>
        <w:tc>
          <w:tcPr>
            <w:tcW w:w="376" w:type="pct"/>
            <w:shd w:val="clear" w:color="auto" w:fill="auto"/>
            <w:textDirection w:val="btLr"/>
            <w:vAlign w:val="center"/>
            <w:hideMark/>
          </w:tcPr>
          <w:p w:rsidR="002E3AF6" w:rsidRPr="00B4075E" w:rsidRDefault="002E3AF6" w:rsidP="002E3AF6">
            <w:pPr>
              <w:spacing w:after="0" w:line="240" w:lineRule="auto"/>
              <w:ind w:left="113" w:right="113"/>
              <w:jc w:val="center"/>
              <w:rPr>
                <w:rFonts w:ascii="Sylfaen" w:eastAsia="Times New Roman" w:hAnsi="Sylfaen" w:cs="Calibri"/>
                <w:b/>
                <w:bCs/>
                <w:color w:val="000000"/>
                <w:sz w:val="14"/>
                <w:szCs w:val="14"/>
              </w:rPr>
            </w:pPr>
            <w:r w:rsidRPr="00B4075E">
              <w:rPr>
                <w:rFonts w:ascii="Sylfaen" w:eastAsia="Times New Roman" w:hAnsi="Sylfaen" w:cs="Calibri"/>
                <w:b/>
                <w:bCs/>
                <w:color w:val="000000"/>
                <w:sz w:val="14"/>
                <w:szCs w:val="14"/>
              </w:rPr>
              <w:t xml:space="preserve">ხელმოწერის </w:t>
            </w:r>
            <w:r w:rsidRPr="00B4075E">
              <w:rPr>
                <w:rFonts w:ascii="Sylfaen" w:eastAsia="Times New Roman" w:hAnsi="Sylfaen" w:cs="Calibri"/>
                <w:b/>
                <w:bCs/>
                <w:color w:val="000000"/>
                <w:sz w:val="14"/>
                <w:szCs w:val="14"/>
              </w:rPr>
              <w:br/>
              <w:t>თარიღი</w:t>
            </w:r>
          </w:p>
        </w:tc>
        <w:tc>
          <w:tcPr>
            <w:tcW w:w="371" w:type="pct"/>
            <w:shd w:val="clear" w:color="auto" w:fill="auto"/>
            <w:textDirection w:val="btLr"/>
            <w:vAlign w:val="center"/>
            <w:hideMark/>
          </w:tcPr>
          <w:p w:rsidR="002E3AF6" w:rsidRPr="00B4075E" w:rsidRDefault="002E3AF6" w:rsidP="002E3AF6">
            <w:pPr>
              <w:spacing w:after="0" w:line="240" w:lineRule="auto"/>
              <w:ind w:left="113" w:right="113"/>
              <w:jc w:val="center"/>
              <w:rPr>
                <w:rFonts w:ascii="Sylfaen" w:eastAsia="Times New Roman" w:hAnsi="Sylfaen" w:cs="Calibri"/>
                <w:b/>
                <w:bCs/>
                <w:color w:val="000000"/>
                <w:sz w:val="14"/>
                <w:szCs w:val="14"/>
              </w:rPr>
            </w:pPr>
            <w:r w:rsidRPr="00B4075E">
              <w:rPr>
                <w:rFonts w:ascii="Sylfaen" w:eastAsia="Times New Roman" w:hAnsi="Sylfaen" w:cs="Calibri"/>
                <w:b/>
                <w:bCs/>
                <w:color w:val="000000"/>
                <w:sz w:val="14"/>
                <w:szCs w:val="14"/>
              </w:rPr>
              <w:t>შეთანხმებული თანხა</w:t>
            </w:r>
            <w:r w:rsidRPr="00B4075E">
              <w:rPr>
                <w:rFonts w:ascii="Sylfaen" w:eastAsia="Times New Roman" w:hAnsi="Sylfaen" w:cs="Calibri"/>
                <w:b/>
                <w:bCs/>
                <w:color w:val="000000"/>
                <w:sz w:val="14"/>
                <w:szCs w:val="14"/>
              </w:rPr>
              <w:br/>
              <w:t>(მლნ ევრო)</w:t>
            </w:r>
          </w:p>
        </w:tc>
        <w:tc>
          <w:tcPr>
            <w:tcW w:w="371" w:type="pct"/>
            <w:shd w:val="clear" w:color="auto" w:fill="auto"/>
            <w:textDirection w:val="btLr"/>
            <w:vAlign w:val="center"/>
            <w:hideMark/>
          </w:tcPr>
          <w:p w:rsidR="002E3AF6" w:rsidRPr="00B4075E" w:rsidRDefault="002E3AF6" w:rsidP="002E3AF6">
            <w:pPr>
              <w:spacing w:after="0" w:line="240" w:lineRule="auto"/>
              <w:ind w:left="113" w:right="113"/>
              <w:jc w:val="center"/>
              <w:rPr>
                <w:rFonts w:ascii="Sylfaen" w:eastAsia="Times New Roman" w:hAnsi="Sylfaen" w:cs="Calibri"/>
                <w:b/>
                <w:bCs/>
                <w:color w:val="000000"/>
                <w:sz w:val="14"/>
                <w:szCs w:val="14"/>
              </w:rPr>
            </w:pPr>
            <w:r w:rsidRPr="00B4075E">
              <w:rPr>
                <w:rFonts w:ascii="Sylfaen" w:eastAsia="Times New Roman" w:hAnsi="Sylfaen" w:cs="Calibri"/>
                <w:b/>
                <w:bCs/>
                <w:color w:val="000000"/>
                <w:sz w:val="14"/>
                <w:szCs w:val="14"/>
              </w:rPr>
              <w:t>ხელმოწერილი თანხა</w:t>
            </w:r>
            <w:r w:rsidRPr="00B4075E">
              <w:rPr>
                <w:rFonts w:ascii="Sylfaen" w:eastAsia="Times New Roman" w:hAnsi="Sylfaen" w:cs="Calibri"/>
                <w:b/>
                <w:bCs/>
                <w:color w:val="000000"/>
                <w:sz w:val="14"/>
                <w:szCs w:val="14"/>
              </w:rPr>
              <w:br/>
              <w:t>(მლნ ევრო)</w:t>
            </w:r>
          </w:p>
        </w:tc>
        <w:tc>
          <w:tcPr>
            <w:tcW w:w="247" w:type="pct"/>
            <w:shd w:val="clear" w:color="auto" w:fill="auto"/>
            <w:textDirection w:val="btLr"/>
            <w:vAlign w:val="center"/>
            <w:hideMark/>
          </w:tcPr>
          <w:p w:rsidR="002E3AF6" w:rsidRPr="00B4075E" w:rsidRDefault="002E3AF6" w:rsidP="002E3AF6">
            <w:pPr>
              <w:spacing w:after="0" w:line="240" w:lineRule="auto"/>
              <w:ind w:left="113" w:right="113"/>
              <w:jc w:val="center"/>
              <w:rPr>
                <w:rFonts w:ascii="Sylfaen" w:eastAsia="Times New Roman" w:hAnsi="Sylfaen" w:cs="Calibri"/>
                <w:b/>
                <w:bCs/>
                <w:color w:val="000000"/>
                <w:sz w:val="14"/>
                <w:szCs w:val="14"/>
              </w:rPr>
            </w:pPr>
            <w:r w:rsidRPr="00B4075E">
              <w:rPr>
                <w:rFonts w:ascii="Sylfaen" w:eastAsia="Times New Roman" w:hAnsi="Sylfaen" w:cs="Calibri"/>
                <w:b/>
                <w:bCs/>
                <w:color w:val="000000"/>
                <w:sz w:val="14"/>
                <w:szCs w:val="14"/>
              </w:rPr>
              <w:t>მ.შ. კოვიდის გარეშე დაგეგმილი</w:t>
            </w:r>
          </w:p>
        </w:tc>
        <w:tc>
          <w:tcPr>
            <w:tcW w:w="371" w:type="pct"/>
            <w:shd w:val="clear" w:color="auto" w:fill="auto"/>
            <w:textDirection w:val="btLr"/>
            <w:vAlign w:val="center"/>
            <w:hideMark/>
          </w:tcPr>
          <w:p w:rsidR="002E3AF6" w:rsidRPr="00B4075E" w:rsidRDefault="002E3AF6" w:rsidP="002E3AF6">
            <w:pPr>
              <w:spacing w:after="0" w:line="240" w:lineRule="auto"/>
              <w:ind w:left="113" w:right="113"/>
              <w:jc w:val="center"/>
              <w:rPr>
                <w:rFonts w:ascii="Sylfaen" w:eastAsia="Times New Roman" w:hAnsi="Sylfaen" w:cs="Calibri"/>
                <w:b/>
                <w:bCs/>
                <w:color w:val="000000"/>
                <w:sz w:val="14"/>
                <w:szCs w:val="14"/>
              </w:rPr>
            </w:pPr>
            <w:r w:rsidRPr="00B4075E">
              <w:rPr>
                <w:rFonts w:ascii="Sylfaen" w:eastAsia="Times New Roman" w:hAnsi="Sylfaen" w:cs="Calibri"/>
                <w:b/>
                <w:bCs/>
                <w:color w:val="000000"/>
                <w:sz w:val="14"/>
                <w:szCs w:val="14"/>
              </w:rPr>
              <w:t>მ.შ.კოვიდისთვის დამატებით მოზიდული</w:t>
            </w:r>
          </w:p>
        </w:tc>
        <w:tc>
          <w:tcPr>
            <w:tcW w:w="371" w:type="pct"/>
            <w:shd w:val="clear" w:color="auto" w:fill="auto"/>
            <w:textDirection w:val="btLr"/>
            <w:vAlign w:val="center"/>
            <w:hideMark/>
          </w:tcPr>
          <w:p w:rsidR="002E3AF6" w:rsidRPr="00B4075E" w:rsidRDefault="002E3AF6" w:rsidP="002E3AF6">
            <w:pPr>
              <w:spacing w:after="0" w:line="240" w:lineRule="auto"/>
              <w:ind w:left="113" w:right="113"/>
              <w:jc w:val="center"/>
              <w:rPr>
                <w:rFonts w:ascii="Sylfaen" w:eastAsia="Times New Roman" w:hAnsi="Sylfaen" w:cs="Calibri"/>
                <w:b/>
                <w:bCs/>
                <w:color w:val="000000"/>
                <w:sz w:val="14"/>
                <w:szCs w:val="14"/>
              </w:rPr>
            </w:pPr>
            <w:r w:rsidRPr="00B4075E">
              <w:rPr>
                <w:rFonts w:ascii="Sylfaen" w:eastAsia="Times New Roman" w:hAnsi="Sylfaen" w:cs="Calibri"/>
                <w:b/>
                <w:bCs/>
                <w:color w:val="000000"/>
                <w:sz w:val="14"/>
                <w:szCs w:val="14"/>
              </w:rPr>
              <w:t>ჩამორიცხული თანხა</w:t>
            </w:r>
            <w:r w:rsidRPr="00B4075E">
              <w:rPr>
                <w:rFonts w:ascii="Sylfaen" w:eastAsia="Times New Roman" w:hAnsi="Sylfaen" w:cs="Calibri"/>
                <w:b/>
                <w:bCs/>
                <w:color w:val="000000"/>
                <w:sz w:val="14"/>
                <w:szCs w:val="14"/>
              </w:rPr>
              <w:br/>
              <w:t>(მლნ ევრო)</w:t>
            </w:r>
            <w:r w:rsidRPr="00B4075E">
              <w:rPr>
                <w:rFonts w:ascii="Sylfaen" w:eastAsia="Times New Roman" w:hAnsi="Sylfaen" w:cs="Calibri"/>
                <w:b/>
                <w:bCs/>
                <w:color w:val="000000"/>
                <w:sz w:val="14"/>
                <w:szCs w:val="14"/>
              </w:rPr>
              <w:br/>
              <w:t>30.06.2021 მდგომარეობით</w:t>
            </w:r>
          </w:p>
        </w:tc>
        <w:tc>
          <w:tcPr>
            <w:tcW w:w="555" w:type="pct"/>
            <w:shd w:val="clear" w:color="auto" w:fill="auto"/>
            <w:textDirection w:val="btLr"/>
            <w:vAlign w:val="center"/>
            <w:hideMark/>
          </w:tcPr>
          <w:p w:rsidR="002E3AF6" w:rsidRPr="00B4075E" w:rsidRDefault="002E3AF6" w:rsidP="002E3AF6">
            <w:pPr>
              <w:spacing w:after="0" w:line="240" w:lineRule="auto"/>
              <w:ind w:left="113" w:right="113"/>
              <w:jc w:val="center"/>
              <w:rPr>
                <w:rFonts w:ascii="Sylfaen" w:eastAsia="Times New Roman" w:hAnsi="Sylfaen" w:cs="Calibri"/>
                <w:b/>
                <w:bCs/>
                <w:color w:val="000000"/>
                <w:sz w:val="14"/>
                <w:szCs w:val="14"/>
              </w:rPr>
            </w:pPr>
            <w:r w:rsidRPr="00B4075E">
              <w:rPr>
                <w:rFonts w:ascii="Sylfaen" w:eastAsia="Times New Roman" w:hAnsi="Sylfaen" w:cs="Calibri"/>
                <w:b/>
                <w:bCs/>
                <w:color w:val="000000"/>
                <w:sz w:val="14"/>
                <w:szCs w:val="14"/>
              </w:rPr>
              <w:t>მ.შ.კოვიდისთვის დამატებით მოზიდულიდან ჩამორიცხული</w:t>
            </w:r>
            <w:r w:rsidRPr="00B4075E">
              <w:rPr>
                <w:rFonts w:ascii="Sylfaen" w:eastAsia="Times New Roman" w:hAnsi="Sylfaen" w:cs="Calibri"/>
                <w:b/>
                <w:bCs/>
                <w:color w:val="000000"/>
                <w:sz w:val="14"/>
                <w:szCs w:val="14"/>
              </w:rPr>
              <w:br/>
              <w:t>(მლნ ევრო)</w:t>
            </w:r>
            <w:r w:rsidRPr="00B4075E">
              <w:rPr>
                <w:rFonts w:ascii="Sylfaen" w:eastAsia="Times New Roman" w:hAnsi="Sylfaen" w:cs="Calibri"/>
                <w:b/>
                <w:bCs/>
                <w:color w:val="000000"/>
                <w:sz w:val="14"/>
                <w:szCs w:val="14"/>
              </w:rPr>
              <w:br/>
              <w:t>30.06.2021</w:t>
            </w:r>
            <w:r w:rsidRPr="00B4075E">
              <w:rPr>
                <w:rFonts w:ascii="Sylfaen" w:eastAsia="Times New Roman" w:hAnsi="Sylfaen" w:cs="Calibri"/>
                <w:b/>
                <w:bCs/>
                <w:color w:val="000000"/>
                <w:sz w:val="14"/>
                <w:szCs w:val="14"/>
              </w:rPr>
              <w:br/>
              <w:t>მდგომარეობით</w:t>
            </w:r>
          </w:p>
        </w:tc>
      </w:tr>
      <w:tr w:rsidR="002E3AF6" w:rsidRPr="00B4075E" w:rsidTr="001345DF">
        <w:trPr>
          <w:trHeight w:val="113"/>
        </w:trPr>
        <w:tc>
          <w:tcPr>
            <w:tcW w:w="2099" w:type="pct"/>
            <w:shd w:val="clear" w:color="auto" w:fill="auto"/>
            <w:hideMark/>
          </w:tcPr>
          <w:p w:rsidR="002E3AF6" w:rsidRPr="00B4075E" w:rsidRDefault="002E3AF6" w:rsidP="002E3AF6">
            <w:pPr>
              <w:spacing w:after="0" w:line="240" w:lineRule="auto"/>
              <w:rPr>
                <w:rFonts w:ascii="Sylfaen" w:eastAsia="Times New Roman" w:hAnsi="Sylfaen" w:cs="Calibri"/>
                <w:color w:val="000000"/>
                <w:sz w:val="14"/>
                <w:szCs w:val="14"/>
              </w:rPr>
            </w:pPr>
            <w:r w:rsidRPr="00B4075E">
              <w:rPr>
                <w:rFonts w:ascii="Sylfaen" w:eastAsia="Times New Roman" w:hAnsi="Sylfaen" w:cs="Calibri"/>
                <w:color w:val="000000"/>
                <w:sz w:val="14"/>
                <w:szCs w:val="14"/>
              </w:rPr>
              <w:t xml:space="preserve">საქართველოსა და რეკონსტრუქციისა და განვითარების საერთაშორისო ბანკს (IBRD) შორის  სასესხო შეთანხმება „ეკონომიკური მართვისა და კონკურენტუნარიანობის განვითარების პოლიტიკისთვის“ (DPO)  </w:t>
            </w:r>
          </w:p>
        </w:tc>
        <w:tc>
          <w:tcPr>
            <w:tcW w:w="240" w:type="pct"/>
            <w:shd w:val="clear" w:color="auto" w:fill="auto"/>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WB</w:t>
            </w:r>
          </w:p>
        </w:tc>
        <w:tc>
          <w:tcPr>
            <w:tcW w:w="376"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30.03.2020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45.0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45.0</w:t>
            </w:r>
          </w:p>
        </w:tc>
        <w:tc>
          <w:tcPr>
            <w:tcW w:w="247"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45.0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45.0</w:t>
            </w:r>
          </w:p>
        </w:tc>
        <w:tc>
          <w:tcPr>
            <w:tcW w:w="555"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p>
        </w:tc>
      </w:tr>
      <w:tr w:rsidR="002E3AF6" w:rsidRPr="00B4075E" w:rsidTr="001345DF">
        <w:trPr>
          <w:trHeight w:val="113"/>
        </w:trPr>
        <w:tc>
          <w:tcPr>
            <w:tcW w:w="2099" w:type="pct"/>
            <w:shd w:val="clear" w:color="auto" w:fill="auto"/>
            <w:hideMark/>
          </w:tcPr>
          <w:p w:rsidR="002E3AF6" w:rsidRPr="00B4075E" w:rsidRDefault="002E3AF6" w:rsidP="002E3AF6">
            <w:pPr>
              <w:spacing w:after="0" w:line="240" w:lineRule="auto"/>
              <w:rPr>
                <w:rFonts w:ascii="Sylfaen" w:eastAsia="Times New Roman" w:hAnsi="Sylfaen" w:cs="Calibri"/>
                <w:color w:val="000000"/>
                <w:sz w:val="14"/>
                <w:szCs w:val="14"/>
              </w:rPr>
            </w:pPr>
            <w:r w:rsidRPr="00B4075E">
              <w:rPr>
                <w:rFonts w:ascii="Sylfaen" w:eastAsia="Times New Roman" w:hAnsi="Sylfaen" w:cs="Calibri"/>
                <w:color w:val="000000"/>
                <w:sz w:val="14"/>
                <w:szCs w:val="14"/>
              </w:rPr>
              <w:t>საქართველოსა და რეკონსტრუქციისა და განვითარების საერთაშორისო ბანკს (IBRD)  შორის “COVID-19-ის წინააღმდეგ სწრაფი რეაგირების პროექტი“-ს  სასესხო შეთანხმება</w:t>
            </w:r>
          </w:p>
        </w:tc>
        <w:tc>
          <w:tcPr>
            <w:tcW w:w="240" w:type="pct"/>
            <w:shd w:val="clear" w:color="auto" w:fill="auto"/>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WB</w:t>
            </w:r>
          </w:p>
        </w:tc>
        <w:tc>
          <w:tcPr>
            <w:tcW w:w="376"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01.05.2020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73.1</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73.1</w:t>
            </w:r>
          </w:p>
        </w:tc>
        <w:tc>
          <w:tcPr>
            <w:tcW w:w="247"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73.1</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60.8</w:t>
            </w:r>
          </w:p>
        </w:tc>
        <w:tc>
          <w:tcPr>
            <w:tcW w:w="555"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60.8</w:t>
            </w:r>
          </w:p>
        </w:tc>
      </w:tr>
      <w:tr w:rsidR="002E3AF6" w:rsidRPr="00B4075E" w:rsidTr="001345DF">
        <w:trPr>
          <w:trHeight w:val="113"/>
        </w:trPr>
        <w:tc>
          <w:tcPr>
            <w:tcW w:w="2099" w:type="pct"/>
            <w:shd w:val="clear" w:color="auto" w:fill="auto"/>
            <w:hideMark/>
          </w:tcPr>
          <w:p w:rsidR="002E3AF6" w:rsidRPr="00B4075E" w:rsidRDefault="002E3AF6" w:rsidP="002E3AF6">
            <w:pPr>
              <w:spacing w:after="0" w:line="240" w:lineRule="auto"/>
              <w:rPr>
                <w:rFonts w:ascii="Sylfaen" w:eastAsia="Times New Roman" w:hAnsi="Sylfaen" w:cs="Calibri"/>
                <w:color w:val="000000"/>
                <w:sz w:val="14"/>
                <w:szCs w:val="14"/>
              </w:rPr>
            </w:pPr>
            <w:r w:rsidRPr="00B4075E">
              <w:rPr>
                <w:rFonts w:ascii="Sylfaen" w:eastAsia="Times New Roman" w:hAnsi="Sylfaen" w:cs="Calibri"/>
                <w:color w:val="000000"/>
                <w:sz w:val="14"/>
                <w:szCs w:val="14"/>
              </w:rPr>
              <w:t>საქართველოსა და აზიის ინფრასტრუქტურის საინვესტიციო ბანკს (AIIB) შორის სასესხო შეთანხმება „COVID-19-ის წინააღმდეგ სწრაფი რეაგირების პროექტი“</w:t>
            </w:r>
          </w:p>
        </w:tc>
        <w:tc>
          <w:tcPr>
            <w:tcW w:w="240" w:type="pct"/>
            <w:shd w:val="clear" w:color="auto" w:fill="auto"/>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AIIB</w:t>
            </w:r>
          </w:p>
        </w:tc>
        <w:tc>
          <w:tcPr>
            <w:tcW w:w="376"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21.05.2020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91.3</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91.3</w:t>
            </w:r>
          </w:p>
        </w:tc>
        <w:tc>
          <w:tcPr>
            <w:tcW w:w="247"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91.3</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74.7</w:t>
            </w:r>
          </w:p>
        </w:tc>
        <w:tc>
          <w:tcPr>
            <w:tcW w:w="555"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74.7</w:t>
            </w:r>
          </w:p>
        </w:tc>
      </w:tr>
      <w:tr w:rsidR="002E3AF6" w:rsidRPr="00B4075E" w:rsidTr="001345DF">
        <w:trPr>
          <w:trHeight w:val="113"/>
        </w:trPr>
        <w:tc>
          <w:tcPr>
            <w:tcW w:w="2099" w:type="pct"/>
            <w:shd w:val="clear" w:color="auto" w:fill="auto"/>
            <w:hideMark/>
          </w:tcPr>
          <w:p w:rsidR="002E3AF6" w:rsidRPr="00B4075E" w:rsidRDefault="002E3AF6" w:rsidP="002E3AF6">
            <w:pPr>
              <w:spacing w:after="0" w:line="240" w:lineRule="auto"/>
              <w:rPr>
                <w:rFonts w:ascii="Sylfaen" w:eastAsia="Times New Roman" w:hAnsi="Sylfaen" w:cs="Calibri"/>
                <w:color w:val="000000"/>
                <w:sz w:val="14"/>
                <w:szCs w:val="14"/>
              </w:rPr>
            </w:pPr>
            <w:r w:rsidRPr="00B4075E">
              <w:rPr>
                <w:rFonts w:ascii="Sylfaen" w:eastAsia="Times New Roman" w:hAnsi="Sylfaen" w:cs="Calibri"/>
                <w:color w:val="000000"/>
                <w:sz w:val="14"/>
                <w:szCs w:val="14"/>
              </w:rPr>
              <w:t xml:space="preserve">საქართველოსა და საფრანგეთის განვითარების სააგენტოს შორის სასესხო შეთანხმება (სოციალური კეთილდღეობის პროგრამა) </w:t>
            </w:r>
          </w:p>
        </w:tc>
        <w:tc>
          <w:tcPr>
            <w:tcW w:w="240" w:type="pct"/>
            <w:shd w:val="clear" w:color="auto" w:fill="auto"/>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AFD</w:t>
            </w:r>
          </w:p>
        </w:tc>
        <w:tc>
          <w:tcPr>
            <w:tcW w:w="376"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22.05.2020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70.0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70.0</w:t>
            </w:r>
          </w:p>
        </w:tc>
        <w:tc>
          <w:tcPr>
            <w:tcW w:w="247"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30.0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40.0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70.0</w:t>
            </w:r>
          </w:p>
        </w:tc>
        <w:tc>
          <w:tcPr>
            <w:tcW w:w="555"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40.0</w:t>
            </w:r>
          </w:p>
        </w:tc>
      </w:tr>
      <w:tr w:rsidR="002E3AF6" w:rsidRPr="00B4075E" w:rsidTr="001345DF">
        <w:trPr>
          <w:trHeight w:val="113"/>
        </w:trPr>
        <w:tc>
          <w:tcPr>
            <w:tcW w:w="2099" w:type="pct"/>
            <w:shd w:val="clear" w:color="auto" w:fill="auto"/>
            <w:hideMark/>
          </w:tcPr>
          <w:p w:rsidR="002E3AF6" w:rsidRPr="00B4075E" w:rsidRDefault="002E3AF6" w:rsidP="002E3AF6">
            <w:pPr>
              <w:spacing w:after="0" w:line="240" w:lineRule="auto"/>
              <w:rPr>
                <w:rFonts w:ascii="Sylfaen" w:eastAsia="Times New Roman" w:hAnsi="Sylfaen" w:cs="Calibri"/>
                <w:color w:val="000000"/>
                <w:sz w:val="14"/>
                <w:szCs w:val="14"/>
              </w:rPr>
            </w:pPr>
            <w:r w:rsidRPr="00B4075E">
              <w:rPr>
                <w:rFonts w:ascii="Sylfaen" w:eastAsia="Times New Roman" w:hAnsi="Sylfaen" w:cs="Calibri"/>
                <w:color w:val="000000"/>
                <w:sz w:val="14"/>
                <w:szCs w:val="14"/>
              </w:rPr>
              <w:t xml:space="preserve">საქართველოსა და საფრანგეთის განვითარების სააგენტოს შორის  სასესხო შეთანხმება (საქართველოს ენერგეტიკის სექტორის მხარდაჭერა) </w:t>
            </w:r>
          </w:p>
        </w:tc>
        <w:tc>
          <w:tcPr>
            <w:tcW w:w="240" w:type="pct"/>
            <w:shd w:val="clear" w:color="auto" w:fill="auto"/>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AFD</w:t>
            </w:r>
          </w:p>
        </w:tc>
        <w:tc>
          <w:tcPr>
            <w:tcW w:w="376"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22.05.2020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120.0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120.0</w:t>
            </w:r>
          </w:p>
        </w:tc>
        <w:tc>
          <w:tcPr>
            <w:tcW w:w="247"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30.0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90.0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120.0</w:t>
            </w:r>
          </w:p>
        </w:tc>
        <w:tc>
          <w:tcPr>
            <w:tcW w:w="555"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90.0</w:t>
            </w:r>
          </w:p>
        </w:tc>
      </w:tr>
      <w:tr w:rsidR="002E3AF6" w:rsidRPr="00B4075E" w:rsidTr="001345DF">
        <w:trPr>
          <w:trHeight w:val="113"/>
        </w:trPr>
        <w:tc>
          <w:tcPr>
            <w:tcW w:w="2099" w:type="pct"/>
            <w:shd w:val="clear" w:color="auto" w:fill="auto"/>
            <w:hideMark/>
          </w:tcPr>
          <w:p w:rsidR="002E3AF6" w:rsidRPr="00B4075E" w:rsidRDefault="002E3AF6" w:rsidP="002E3AF6">
            <w:pPr>
              <w:spacing w:after="0" w:line="240" w:lineRule="auto"/>
              <w:rPr>
                <w:rFonts w:ascii="Sylfaen" w:eastAsia="Times New Roman" w:hAnsi="Sylfaen" w:cs="Calibri"/>
                <w:color w:val="000000"/>
                <w:sz w:val="14"/>
                <w:szCs w:val="14"/>
              </w:rPr>
            </w:pPr>
            <w:r w:rsidRPr="00B4075E">
              <w:rPr>
                <w:rFonts w:ascii="Sylfaen" w:eastAsia="Times New Roman" w:hAnsi="Sylfaen" w:cs="Calibri"/>
                <w:color w:val="000000"/>
                <w:sz w:val="14"/>
                <w:szCs w:val="14"/>
              </w:rPr>
              <w:t xml:space="preserve">საქართველოსა და რეკონსტრუქციის საკრედიტო ბანკს (KfW)  შორის  სასესხო შეთანხმება (საქართველოს ენერგეტიკის სექტორის მხარდაჭერა) </w:t>
            </w:r>
          </w:p>
        </w:tc>
        <w:tc>
          <w:tcPr>
            <w:tcW w:w="240" w:type="pct"/>
            <w:shd w:val="clear" w:color="auto" w:fill="auto"/>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KFW</w:t>
            </w:r>
          </w:p>
        </w:tc>
        <w:tc>
          <w:tcPr>
            <w:tcW w:w="376"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28.05.2020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90.0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90.0</w:t>
            </w:r>
          </w:p>
        </w:tc>
        <w:tc>
          <w:tcPr>
            <w:tcW w:w="247"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30.0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60.0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90.0</w:t>
            </w:r>
          </w:p>
        </w:tc>
        <w:tc>
          <w:tcPr>
            <w:tcW w:w="555"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60.0</w:t>
            </w:r>
          </w:p>
        </w:tc>
      </w:tr>
      <w:tr w:rsidR="002E3AF6" w:rsidRPr="00B4075E" w:rsidTr="001345DF">
        <w:trPr>
          <w:trHeight w:val="113"/>
        </w:trPr>
        <w:tc>
          <w:tcPr>
            <w:tcW w:w="2099" w:type="pct"/>
            <w:shd w:val="clear" w:color="auto" w:fill="auto"/>
            <w:hideMark/>
          </w:tcPr>
          <w:p w:rsidR="002E3AF6" w:rsidRPr="00B4075E" w:rsidRDefault="002E3AF6" w:rsidP="002E3AF6">
            <w:pPr>
              <w:spacing w:after="0" w:line="240" w:lineRule="auto"/>
              <w:rPr>
                <w:rFonts w:ascii="Sylfaen" w:eastAsia="Times New Roman" w:hAnsi="Sylfaen" w:cs="Calibri"/>
                <w:color w:val="000000"/>
                <w:sz w:val="14"/>
                <w:szCs w:val="14"/>
              </w:rPr>
            </w:pPr>
            <w:r w:rsidRPr="00B4075E">
              <w:rPr>
                <w:rFonts w:ascii="Sylfaen" w:eastAsia="Times New Roman" w:hAnsi="Sylfaen" w:cs="Calibri"/>
                <w:color w:val="000000"/>
                <w:sz w:val="14"/>
                <w:szCs w:val="14"/>
              </w:rPr>
              <w:t xml:space="preserve">საქართველოსა და აზიის განვითარების ბანკს (ADB) შორის  სასესხო შეთანხმების (COVID-19-ზე საგანგებო რეაგირებისა და დანახარჯების მხარდამჭერი პროგრამა) </w:t>
            </w:r>
          </w:p>
        </w:tc>
        <w:tc>
          <w:tcPr>
            <w:tcW w:w="240" w:type="pct"/>
            <w:shd w:val="clear" w:color="auto" w:fill="auto"/>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ADB</w:t>
            </w:r>
          </w:p>
        </w:tc>
        <w:tc>
          <w:tcPr>
            <w:tcW w:w="376"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02.06.2020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92.3</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92.3</w:t>
            </w:r>
          </w:p>
        </w:tc>
        <w:tc>
          <w:tcPr>
            <w:tcW w:w="247"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92.3</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92.3</w:t>
            </w:r>
          </w:p>
        </w:tc>
        <w:tc>
          <w:tcPr>
            <w:tcW w:w="555"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92.3</w:t>
            </w:r>
          </w:p>
        </w:tc>
      </w:tr>
      <w:tr w:rsidR="002E3AF6" w:rsidRPr="00B4075E" w:rsidTr="001345DF">
        <w:trPr>
          <w:trHeight w:val="113"/>
        </w:trPr>
        <w:tc>
          <w:tcPr>
            <w:tcW w:w="2099" w:type="pct"/>
            <w:shd w:val="clear" w:color="auto" w:fill="auto"/>
            <w:hideMark/>
          </w:tcPr>
          <w:p w:rsidR="002E3AF6" w:rsidRPr="00B4075E" w:rsidRDefault="002E3AF6" w:rsidP="002E3AF6">
            <w:pPr>
              <w:spacing w:after="0" w:line="240" w:lineRule="auto"/>
              <w:rPr>
                <w:rFonts w:ascii="Sylfaen" w:eastAsia="Times New Roman" w:hAnsi="Sylfaen" w:cs="Calibri"/>
                <w:color w:val="000000"/>
                <w:sz w:val="14"/>
                <w:szCs w:val="14"/>
              </w:rPr>
            </w:pPr>
            <w:r w:rsidRPr="00B4075E">
              <w:rPr>
                <w:rFonts w:ascii="Sylfaen" w:eastAsia="Times New Roman" w:hAnsi="Sylfaen" w:cs="Calibri"/>
                <w:color w:val="000000"/>
                <w:sz w:val="14"/>
                <w:szCs w:val="14"/>
              </w:rPr>
              <w:t xml:space="preserve">საქართველოსა და რეკონსტრუქციისა და განვითარების საერთაშორისო ბანკს (IBRD) შორის სასესხო შეთანხმება „დამატებითი სესხი ეკონომიკური მართვისა და კონკურენტუნარიანობის განვითარების პოლიტიკისთვის“ (DPO)  </w:t>
            </w:r>
          </w:p>
        </w:tc>
        <w:tc>
          <w:tcPr>
            <w:tcW w:w="240" w:type="pct"/>
            <w:shd w:val="clear" w:color="auto" w:fill="auto"/>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WB</w:t>
            </w:r>
          </w:p>
        </w:tc>
        <w:tc>
          <w:tcPr>
            <w:tcW w:w="376"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07.07.2020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45.0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45.0</w:t>
            </w:r>
          </w:p>
        </w:tc>
        <w:tc>
          <w:tcPr>
            <w:tcW w:w="247"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45.0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45.0</w:t>
            </w:r>
          </w:p>
        </w:tc>
        <w:tc>
          <w:tcPr>
            <w:tcW w:w="555"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45.0</w:t>
            </w:r>
          </w:p>
        </w:tc>
      </w:tr>
      <w:tr w:rsidR="002E3AF6" w:rsidRPr="00B4075E" w:rsidTr="001345DF">
        <w:trPr>
          <w:trHeight w:val="113"/>
        </w:trPr>
        <w:tc>
          <w:tcPr>
            <w:tcW w:w="2099" w:type="pct"/>
            <w:shd w:val="clear" w:color="auto" w:fill="auto"/>
            <w:hideMark/>
          </w:tcPr>
          <w:p w:rsidR="002E3AF6" w:rsidRPr="00B4075E" w:rsidRDefault="002E3AF6" w:rsidP="002E3AF6">
            <w:pPr>
              <w:spacing w:after="0" w:line="240" w:lineRule="auto"/>
              <w:rPr>
                <w:rFonts w:ascii="Sylfaen" w:eastAsia="Times New Roman" w:hAnsi="Sylfaen" w:cs="Calibri"/>
                <w:color w:val="000000"/>
                <w:sz w:val="14"/>
                <w:szCs w:val="14"/>
              </w:rPr>
            </w:pPr>
            <w:r w:rsidRPr="00B4075E">
              <w:rPr>
                <w:rFonts w:ascii="Sylfaen" w:eastAsia="Times New Roman" w:hAnsi="Sylfaen" w:cs="Calibri"/>
                <w:color w:val="000000"/>
                <w:sz w:val="14"/>
                <w:szCs w:val="14"/>
              </w:rPr>
              <w:t>საქართველოსა და აზიის ინფრასტრუქტურის საინვესტიციო ბანკს (AIIB) შორის  სასესხო შეთანხმება (ეკონომიკური მართვის და კონკურენტუნარინობის პროგრამა: COVID-19-ის კრიზისის შემსუბუქება)</w:t>
            </w:r>
          </w:p>
        </w:tc>
        <w:tc>
          <w:tcPr>
            <w:tcW w:w="240" w:type="pct"/>
            <w:shd w:val="clear" w:color="auto" w:fill="auto"/>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AIIB</w:t>
            </w:r>
          </w:p>
        </w:tc>
        <w:tc>
          <w:tcPr>
            <w:tcW w:w="376"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28.07.2020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45.0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45.0</w:t>
            </w:r>
          </w:p>
        </w:tc>
        <w:tc>
          <w:tcPr>
            <w:tcW w:w="247"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45.0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45.0</w:t>
            </w:r>
          </w:p>
        </w:tc>
        <w:tc>
          <w:tcPr>
            <w:tcW w:w="555"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45.0</w:t>
            </w:r>
          </w:p>
        </w:tc>
      </w:tr>
      <w:tr w:rsidR="002E3AF6" w:rsidRPr="00B4075E" w:rsidTr="001345DF">
        <w:trPr>
          <w:trHeight w:val="113"/>
        </w:trPr>
        <w:tc>
          <w:tcPr>
            <w:tcW w:w="2099" w:type="pct"/>
            <w:shd w:val="clear" w:color="auto" w:fill="auto"/>
            <w:hideMark/>
          </w:tcPr>
          <w:p w:rsidR="002E3AF6" w:rsidRPr="00B4075E" w:rsidRDefault="002E3AF6" w:rsidP="002E3AF6">
            <w:pPr>
              <w:spacing w:after="0" w:line="240" w:lineRule="auto"/>
              <w:rPr>
                <w:rFonts w:ascii="Sylfaen" w:eastAsia="Times New Roman" w:hAnsi="Sylfaen" w:cs="Calibri"/>
                <w:color w:val="000000"/>
                <w:sz w:val="14"/>
                <w:szCs w:val="14"/>
              </w:rPr>
            </w:pPr>
            <w:r w:rsidRPr="00B4075E">
              <w:rPr>
                <w:rFonts w:ascii="Sylfaen" w:eastAsia="Times New Roman" w:hAnsi="Sylfaen" w:cs="Calibri"/>
                <w:color w:val="000000"/>
                <w:sz w:val="14"/>
                <w:szCs w:val="14"/>
              </w:rPr>
              <w:t>რეკონსტრუქციის საკრედიტო ბანკსა (KfW) და საქართველოს შორის სასესხო შეთანხმება (პოლიტიკაზე დაფუძნებული სესხი (PBL) „საქართველოს ეკონომიკის კონკურენტუნარიანობისა და კრიზისის მიმართ მდგრადობის გასაძლიერებლად“)</w:t>
            </w:r>
          </w:p>
        </w:tc>
        <w:tc>
          <w:tcPr>
            <w:tcW w:w="240" w:type="pct"/>
            <w:shd w:val="clear" w:color="auto" w:fill="auto"/>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KFW</w:t>
            </w:r>
          </w:p>
        </w:tc>
        <w:tc>
          <w:tcPr>
            <w:tcW w:w="376"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07.08.2020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180.0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180.0</w:t>
            </w:r>
          </w:p>
        </w:tc>
        <w:tc>
          <w:tcPr>
            <w:tcW w:w="247"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180.0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180.0</w:t>
            </w:r>
          </w:p>
        </w:tc>
        <w:tc>
          <w:tcPr>
            <w:tcW w:w="555"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180.0</w:t>
            </w:r>
          </w:p>
        </w:tc>
      </w:tr>
      <w:tr w:rsidR="002E3AF6" w:rsidRPr="00B4075E" w:rsidTr="001345DF">
        <w:trPr>
          <w:trHeight w:val="113"/>
        </w:trPr>
        <w:tc>
          <w:tcPr>
            <w:tcW w:w="2099" w:type="pct"/>
            <w:shd w:val="clear" w:color="auto" w:fill="auto"/>
            <w:hideMark/>
          </w:tcPr>
          <w:p w:rsidR="002E3AF6" w:rsidRPr="00B4075E" w:rsidRDefault="002E3AF6" w:rsidP="002E3AF6">
            <w:pPr>
              <w:spacing w:after="0" w:line="240" w:lineRule="auto"/>
              <w:rPr>
                <w:rFonts w:ascii="Sylfaen" w:eastAsia="Times New Roman" w:hAnsi="Sylfaen" w:cs="Calibri"/>
                <w:color w:val="000000"/>
                <w:sz w:val="14"/>
                <w:szCs w:val="14"/>
              </w:rPr>
            </w:pPr>
            <w:r w:rsidRPr="00B4075E">
              <w:rPr>
                <w:rFonts w:ascii="Sylfaen" w:eastAsia="Times New Roman" w:hAnsi="Sylfaen" w:cs="Calibri"/>
                <w:color w:val="000000"/>
                <w:sz w:val="14"/>
                <w:szCs w:val="14"/>
              </w:rPr>
              <w:t>ევროკავშირს (როგორც სესხის გამცემს), საქართველოს (როგორც სესხის მიმღებს), და საქართველოს ეროვნულ ბანკს (როგორც სესხის მიმღების ფინანსურ აგენტს) შორის „მაკრო-ფინანსური დახმარება საქართველოსთვის IV“ სასესხო შეთანხმება</w:t>
            </w:r>
          </w:p>
        </w:tc>
        <w:tc>
          <w:tcPr>
            <w:tcW w:w="240" w:type="pct"/>
            <w:shd w:val="clear" w:color="auto" w:fill="auto"/>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EU</w:t>
            </w:r>
          </w:p>
        </w:tc>
        <w:tc>
          <w:tcPr>
            <w:tcW w:w="376"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22.09.2020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150.0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150.0</w:t>
            </w:r>
          </w:p>
        </w:tc>
        <w:tc>
          <w:tcPr>
            <w:tcW w:w="247"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150.0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75.0</w:t>
            </w:r>
          </w:p>
        </w:tc>
        <w:tc>
          <w:tcPr>
            <w:tcW w:w="555"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75.0</w:t>
            </w:r>
          </w:p>
        </w:tc>
      </w:tr>
      <w:tr w:rsidR="002E3AF6" w:rsidRPr="00B4075E" w:rsidTr="001345DF">
        <w:trPr>
          <w:trHeight w:val="113"/>
        </w:trPr>
        <w:tc>
          <w:tcPr>
            <w:tcW w:w="2099" w:type="pct"/>
            <w:shd w:val="clear" w:color="auto" w:fill="auto"/>
            <w:hideMark/>
          </w:tcPr>
          <w:p w:rsidR="002E3AF6" w:rsidRPr="00B4075E" w:rsidRDefault="002E3AF6" w:rsidP="002E3AF6">
            <w:pPr>
              <w:spacing w:after="0" w:line="240" w:lineRule="auto"/>
              <w:rPr>
                <w:rFonts w:ascii="Sylfaen" w:eastAsia="Times New Roman" w:hAnsi="Sylfaen" w:cs="Calibri"/>
                <w:color w:val="000000"/>
                <w:sz w:val="14"/>
                <w:szCs w:val="14"/>
              </w:rPr>
            </w:pPr>
            <w:r w:rsidRPr="00B4075E">
              <w:rPr>
                <w:rFonts w:ascii="Sylfaen" w:eastAsia="Times New Roman" w:hAnsi="Sylfaen" w:cs="Calibri"/>
                <w:color w:val="000000"/>
                <w:sz w:val="14"/>
                <w:szCs w:val="14"/>
              </w:rPr>
              <w:t>საქართველოსა და  აზიის განვითარების ბანკს (</w:t>
            </w:r>
            <w:r w:rsidRPr="00B4075E">
              <w:rPr>
                <w:rFonts w:ascii="Sylfaen" w:eastAsia="Times New Roman" w:hAnsi="Sylfaen" w:cs="Arial"/>
                <w:color w:val="000000"/>
                <w:sz w:val="14"/>
                <w:szCs w:val="14"/>
              </w:rPr>
              <w:t xml:space="preserve">ADB) </w:t>
            </w:r>
            <w:r w:rsidRPr="00B4075E">
              <w:rPr>
                <w:rFonts w:ascii="Sylfaen" w:eastAsia="Times New Roman" w:hAnsi="Sylfaen" w:cs="Sylfaen"/>
                <w:color w:val="000000"/>
                <w:sz w:val="14"/>
                <w:szCs w:val="14"/>
              </w:rPr>
              <w:t>შორის</w:t>
            </w:r>
            <w:r w:rsidRPr="00B4075E">
              <w:rPr>
                <w:rFonts w:ascii="Sylfaen" w:eastAsia="Times New Roman" w:hAnsi="Sylfaen" w:cs="Arial"/>
                <w:color w:val="000000"/>
                <w:sz w:val="14"/>
                <w:szCs w:val="14"/>
              </w:rPr>
              <w:t xml:space="preserve">  </w:t>
            </w:r>
            <w:r w:rsidRPr="00B4075E">
              <w:rPr>
                <w:rFonts w:ascii="Sylfaen" w:eastAsia="Times New Roman" w:hAnsi="Sylfaen" w:cs="Sylfaen"/>
                <w:color w:val="000000"/>
                <w:sz w:val="14"/>
                <w:szCs w:val="14"/>
              </w:rPr>
              <w:t>სასესხო</w:t>
            </w:r>
            <w:r w:rsidRPr="00B4075E">
              <w:rPr>
                <w:rFonts w:ascii="Sylfaen" w:eastAsia="Times New Roman" w:hAnsi="Sylfaen" w:cs="Arial"/>
                <w:color w:val="000000"/>
                <w:sz w:val="14"/>
                <w:szCs w:val="14"/>
              </w:rPr>
              <w:t xml:space="preserve"> </w:t>
            </w:r>
            <w:r w:rsidRPr="00B4075E">
              <w:rPr>
                <w:rFonts w:ascii="Sylfaen" w:eastAsia="Times New Roman" w:hAnsi="Sylfaen" w:cs="Sylfaen"/>
                <w:color w:val="000000"/>
                <w:sz w:val="14"/>
                <w:szCs w:val="14"/>
              </w:rPr>
              <w:t>შეთანხმება</w:t>
            </w:r>
            <w:r w:rsidRPr="00B4075E">
              <w:rPr>
                <w:rFonts w:ascii="Sylfaen" w:eastAsia="Times New Roman" w:hAnsi="Sylfaen" w:cs="Arial"/>
                <w:color w:val="000000"/>
                <w:sz w:val="14"/>
                <w:szCs w:val="14"/>
              </w:rPr>
              <w:t xml:space="preserve"> (</w:t>
            </w:r>
            <w:r w:rsidRPr="00B4075E">
              <w:rPr>
                <w:rFonts w:ascii="Sylfaen" w:eastAsia="Times New Roman" w:hAnsi="Sylfaen" w:cs="Sylfaen"/>
                <w:color w:val="000000"/>
                <w:sz w:val="14"/>
                <w:szCs w:val="14"/>
              </w:rPr>
              <w:t>ჩვეულებრივი</w:t>
            </w:r>
            <w:r w:rsidRPr="00B4075E">
              <w:rPr>
                <w:rFonts w:ascii="Sylfaen" w:eastAsia="Times New Roman" w:hAnsi="Sylfaen" w:cs="Arial"/>
                <w:color w:val="000000"/>
                <w:sz w:val="14"/>
                <w:szCs w:val="14"/>
              </w:rPr>
              <w:t xml:space="preserve"> </w:t>
            </w:r>
            <w:r w:rsidRPr="00B4075E">
              <w:rPr>
                <w:rFonts w:ascii="Sylfaen" w:eastAsia="Times New Roman" w:hAnsi="Sylfaen" w:cs="Sylfaen"/>
                <w:color w:val="000000"/>
                <w:sz w:val="14"/>
                <w:szCs w:val="14"/>
              </w:rPr>
              <w:t>ოპერაციები</w:t>
            </w:r>
            <w:r w:rsidRPr="00B4075E">
              <w:rPr>
                <w:rFonts w:ascii="Sylfaen" w:eastAsia="Times New Roman" w:hAnsi="Sylfaen" w:cs="Arial"/>
                <w:color w:val="000000"/>
                <w:sz w:val="14"/>
                <w:szCs w:val="14"/>
              </w:rPr>
              <w:t>) (</w:t>
            </w:r>
            <w:r w:rsidRPr="00B4075E">
              <w:rPr>
                <w:rFonts w:ascii="Sylfaen" w:eastAsia="Times New Roman" w:hAnsi="Sylfaen" w:cs="Sylfaen"/>
                <w:color w:val="000000"/>
                <w:sz w:val="14"/>
                <w:szCs w:val="14"/>
              </w:rPr>
              <w:t>ფისკალური</w:t>
            </w:r>
            <w:r w:rsidRPr="00B4075E">
              <w:rPr>
                <w:rFonts w:ascii="Sylfaen" w:eastAsia="Times New Roman" w:hAnsi="Sylfaen" w:cs="Arial"/>
                <w:color w:val="000000"/>
                <w:sz w:val="14"/>
                <w:szCs w:val="14"/>
              </w:rPr>
              <w:t xml:space="preserve"> </w:t>
            </w:r>
            <w:r w:rsidRPr="00B4075E">
              <w:rPr>
                <w:rFonts w:ascii="Sylfaen" w:eastAsia="Times New Roman" w:hAnsi="Sylfaen" w:cs="Sylfaen"/>
                <w:color w:val="000000"/>
                <w:sz w:val="14"/>
                <w:szCs w:val="14"/>
              </w:rPr>
              <w:t>მდგრადობის</w:t>
            </w:r>
            <w:r w:rsidRPr="00B4075E">
              <w:rPr>
                <w:rFonts w:ascii="Sylfaen" w:eastAsia="Times New Roman" w:hAnsi="Sylfaen" w:cs="Arial"/>
                <w:color w:val="000000"/>
                <w:sz w:val="14"/>
                <w:szCs w:val="14"/>
              </w:rPr>
              <w:t xml:space="preserve"> </w:t>
            </w:r>
            <w:r w:rsidRPr="00B4075E">
              <w:rPr>
                <w:rFonts w:ascii="Sylfaen" w:eastAsia="Times New Roman" w:hAnsi="Sylfaen" w:cs="Sylfaen"/>
                <w:color w:val="000000"/>
                <w:sz w:val="14"/>
                <w:szCs w:val="14"/>
              </w:rPr>
              <w:t>და</w:t>
            </w:r>
            <w:r w:rsidRPr="00B4075E">
              <w:rPr>
                <w:rFonts w:ascii="Sylfaen" w:eastAsia="Times New Roman" w:hAnsi="Sylfaen" w:cs="Arial"/>
                <w:color w:val="000000"/>
                <w:sz w:val="14"/>
                <w:szCs w:val="14"/>
              </w:rPr>
              <w:t xml:space="preserve"> </w:t>
            </w:r>
            <w:r w:rsidRPr="00B4075E">
              <w:rPr>
                <w:rFonts w:ascii="Sylfaen" w:eastAsia="Times New Roman" w:hAnsi="Sylfaen" w:cs="Sylfaen"/>
                <w:color w:val="000000"/>
                <w:sz w:val="14"/>
                <w:szCs w:val="14"/>
              </w:rPr>
              <w:t>სოციალური</w:t>
            </w:r>
            <w:r w:rsidRPr="00B4075E">
              <w:rPr>
                <w:rFonts w:ascii="Sylfaen" w:eastAsia="Times New Roman" w:hAnsi="Sylfaen" w:cs="Arial"/>
                <w:color w:val="000000"/>
                <w:sz w:val="14"/>
                <w:szCs w:val="14"/>
              </w:rPr>
              <w:t xml:space="preserve"> </w:t>
            </w:r>
            <w:r w:rsidRPr="00B4075E">
              <w:rPr>
                <w:rFonts w:ascii="Sylfaen" w:eastAsia="Times New Roman" w:hAnsi="Sylfaen" w:cs="Sylfaen"/>
                <w:color w:val="000000"/>
                <w:sz w:val="14"/>
                <w:szCs w:val="14"/>
              </w:rPr>
              <w:t>დაცვის</w:t>
            </w:r>
            <w:r w:rsidRPr="00B4075E">
              <w:rPr>
                <w:rFonts w:ascii="Sylfaen" w:eastAsia="Times New Roman" w:hAnsi="Sylfaen" w:cs="Arial"/>
                <w:color w:val="000000"/>
                <w:sz w:val="14"/>
                <w:szCs w:val="14"/>
              </w:rPr>
              <w:t xml:space="preserve"> </w:t>
            </w:r>
            <w:r w:rsidRPr="00B4075E">
              <w:rPr>
                <w:rFonts w:ascii="Sylfaen" w:eastAsia="Times New Roman" w:hAnsi="Sylfaen" w:cs="Sylfaen"/>
                <w:color w:val="000000"/>
                <w:sz w:val="14"/>
                <w:szCs w:val="14"/>
              </w:rPr>
              <w:t>პროგრამა</w:t>
            </w:r>
            <w:r w:rsidRPr="00B4075E">
              <w:rPr>
                <w:rFonts w:ascii="Sylfaen" w:eastAsia="Times New Roman" w:hAnsi="Sylfaen" w:cs="Arial"/>
                <w:color w:val="000000"/>
                <w:sz w:val="14"/>
                <w:szCs w:val="14"/>
              </w:rPr>
              <w:t>)</w:t>
            </w:r>
          </w:p>
        </w:tc>
        <w:tc>
          <w:tcPr>
            <w:tcW w:w="240" w:type="pct"/>
            <w:shd w:val="clear" w:color="auto" w:fill="auto"/>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ADB</w:t>
            </w:r>
          </w:p>
        </w:tc>
        <w:tc>
          <w:tcPr>
            <w:tcW w:w="376"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29.10.2020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254.2</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170.8</w:t>
            </w:r>
          </w:p>
        </w:tc>
        <w:tc>
          <w:tcPr>
            <w:tcW w:w="247"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170.8</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170.8</w:t>
            </w:r>
          </w:p>
        </w:tc>
        <w:tc>
          <w:tcPr>
            <w:tcW w:w="555"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170.8</w:t>
            </w:r>
          </w:p>
        </w:tc>
      </w:tr>
      <w:tr w:rsidR="002E3AF6" w:rsidRPr="00B4075E" w:rsidTr="001345DF">
        <w:trPr>
          <w:trHeight w:val="113"/>
        </w:trPr>
        <w:tc>
          <w:tcPr>
            <w:tcW w:w="2099" w:type="pct"/>
            <w:shd w:val="clear" w:color="auto" w:fill="auto"/>
            <w:hideMark/>
          </w:tcPr>
          <w:p w:rsidR="002E3AF6" w:rsidRPr="00B4075E" w:rsidRDefault="002E3AF6" w:rsidP="002E3AF6">
            <w:pPr>
              <w:spacing w:after="0" w:line="240" w:lineRule="auto"/>
              <w:rPr>
                <w:rFonts w:ascii="Sylfaen" w:eastAsia="Times New Roman" w:hAnsi="Sylfaen" w:cs="Calibri"/>
                <w:color w:val="000000"/>
                <w:sz w:val="14"/>
                <w:szCs w:val="14"/>
              </w:rPr>
            </w:pPr>
            <w:r w:rsidRPr="00B4075E">
              <w:rPr>
                <w:rFonts w:ascii="Sylfaen" w:eastAsia="Times New Roman" w:hAnsi="Sylfaen" w:cs="Calibri"/>
                <w:color w:val="000000"/>
                <w:sz w:val="14"/>
                <w:szCs w:val="14"/>
              </w:rPr>
              <w:t xml:space="preserve">საქართველოსა და რეკონსტრუქციის საკრედიტო ბანკს </w:t>
            </w:r>
            <w:r w:rsidRPr="00B4075E">
              <w:rPr>
                <w:rFonts w:ascii="Sylfaen" w:eastAsia="Times New Roman" w:hAnsi="Sylfaen" w:cs="Arial"/>
                <w:color w:val="000000"/>
                <w:sz w:val="14"/>
                <w:szCs w:val="14"/>
              </w:rPr>
              <w:t xml:space="preserve">(KfW) </w:t>
            </w:r>
            <w:r w:rsidRPr="00B4075E">
              <w:rPr>
                <w:rFonts w:ascii="Sylfaen" w:eastAsia="Times New Roman" w:hAnsi="Sylfaen" w:cs="Sylfaen"/>
                <w:color w:val="000000"/>
                <w:sz w:val="14"/>
                <w:szCs w:val="14"/>
              </w:rPr>
              <w:t>შორის</w:t>
            </w:r>
            <w:r w:rsidRPr="00B4075E">
              <w:rPr>
                <w:rFonts w:ascii="Sylfaen" w:eastAsia="Times New Roman" w:hAnsi="Sylfaen" w:cs="Arial"/>
                <w:color w:val="000000"/>
                <w:sz w:val="14"/>
                <w:szCs w:val="14"/>
              </w:rPr>
              <w:t xml:space="preserve">  „COVID- 19 </w:t>
            </w:r>
            <w:r w:rsidRPr="00B4075E">
              <w:rPr>
                <w:rFonts w:ascii="Sylfaen" w:eastAsia="Times New Roman" w:hAnsi="Sylfaen" w:cs="Sylfaen"/>
                <w:color w:val="000000"/>
                <w:sz w:val="14"/>
                <w:szCs w:val="14"/>
              </w:rPr>
              <w:t>პანდემიის</w:t>
            </w:r>
            <w:r w:rsidRPr="00B4075E">
              <w:rPr>
                <w:rFonts w:ascii="Sylfaen" w:eastAsia="Times New Roman" w:hAnsi="Sylfaen" w:cs="Arial"/>
                <w:color w:val="000000"/>
                <w:sz w:val="14"/>
                <w:szCs w:val="14"/>
              </w:rPr>
              <w:t xml:space="preserve"> </w:t>
            </w:r>
            <w:r w:rsidRPr="00B4075E">
              <w:rPr>
                <w:rFonts w:ascii="Sylfaen" w:eastAsia="Times New Roman" w:hAnsi="Sylfaen" w:cs="Sylfaen"/>
                <w:color w:val="000000"/>
                <w:sz w:val="14"/>
                <w:szCs w:val="14"/>
              </w:rPr>
              <w:t>კონტექსტში</w:t>
            </w:r>
            <w:r w:rsidRPr="00B4075E">
              <w:rPr>
                <w:rFonts w:ascii="Sylfaen" w:eastAsia="Times New Roman" w:hAnsi="Sylfaen" w:cs="Arial"/>
                <w:color w:val="000000"/>
                <w:sz w:val="14"/>
                <w:szCs w:val="14"/>
              </w:rPr>
              <w:t xml:space="preserve"> </w:t>
            </w:r>
            <w:r w:rsidRPr="00B4075E">
              <w:rPr>
                <w:rFonts w:ascii="Sylfaen" w:eastAsia="Times New Roman" w:hAnsi="Sylfaen" w:cs="Sylfaen"/>
                <w:color w:val="000000"/>
                <w:sz w:val="14"/>
                <w:szCs w:val="14"/>
              </w:rPr>
              <w:t>სოციალური</w:t>
            </w:r>
            <w:r w:rsidRPr="00B4075E">
              <w:rPr>
                <w:rFonts w:ascii="Sylfaen" w:eastAsia="Times New Roman" w:hAnsi="Sylfaen" w:cs="Arial"/>
                <w:color w:val="000000"/>
                <w:sz w:val="14"/>
                <w:szCs w:val="14"/>
              </w:rPr>
              <w:t xml:space="preserve"> </w:t>
            </w:r>
            <w:r w:rsidRPr="00B4075E">
              <w:rPr>
                <w:rFonts w:ascii="Sylfaen" w:eastAsia="Times New Roman" w:hAnsi="Sylfaen" w:cs="Sylfaen"/>
                <w:color w:val="000000"/>
                <w:sz w:val="14"/>
                <w:szCs w:val="14"/>
              </w:rPr>
              <w:t>უსაფრთხოება</w:t>
            </w:r>
            <w:r w:rsidRPr="00B4075E">
              <w:rPr>
                <w:rFonts w:ascii="Sylfaen" w:eastAsia="Times New Roman" w:hAnsi="Sylfaen" w:cs="Arial"/>
                <w:color w:val="000000"/>
                <w:sz w:val="14"/>
                <w:szCs w:val="14"/>
              </w:rPr>
              <w:t xml:space="preserve">“ </w:t>
            </w:r>
            <w:r w:rsidRPr="00B4075E">
              <w:rPr>
                <w:rFonts w:ascii="Sylfaen" w:eastAsia="Times New Roman" w:hAnsi="Sylfaen" w:cs="Sylfaen"/>
                <w:color w:val="000000"/>
                <w:sz w:val="14"/>
                <w:szCs w:val="14"/>
              </w:rPr>
              <w:t>საგრანტო</w:t>
            </w:r>
            <w:r w:rsidRPr="00B4075E">
              <w:rPr>
                <w:rFonts w:ascii="Sylfaen" w:eastAsia="Times New Roman" w:hAnsi="Sylfaen" w:cs="Arial"/>
                <w:color w:val="000000"/>
                <w:sz w:val="14"/>
                <w:szCs w:val="14"/>
              </w:rPr>
              <w:t xml:space="preserve"> </w:t>
            </w:r>
            <w:r w:rsidRPr="00B4075E">
              <w:rPr>
                <w:rFonts w:ascii="Sylfaen" w:eastAsia="Times New Roman" w:hAnsi="Sylfaen" w:cs="Sylfaen"/>
                <w:color w:val="000000"/>
                <w:sz w:val="14"/>
                <w:szCs w:val="14"/>
              </w:rPr>
              <w:t>შეთანხმება</w:t>
            </w:r>
          </w:p>
        </w:tc>
        <w:tc>
          <w:tcPr>
            <w:tcW w:w="240" w:type="pct"/>
            <w:shd w:val="clear" w:color="auto" w:fill="auto"/>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KFW</w:t>
            </w:r>
          </w:p>
        </w:tc>
        <w:tc>
          <w:tcPr>
            <w:tcW w:w="376"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29.10.2020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5.8</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5.8</w:t>
            </w:r>
          </w:p>
        </w:tc>
        <w:tc>
          <w:tcPr>
            <w:tcW w:w="247"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5.8</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1.3</w:t>
            </w:r>
          </w:p>
        </w:tc>
        <w:tc>
          <w:tcPr>
            <w:tcW w:w="555"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1.3</w:t>
            </w:r>
          </w:p>
        </w:tc>
      </w:tr>
      <w:tr w:rsidR="002E3AF6" w:rsidRPr="00B4075E" w:rsidTr="001345DF">
        <w:trPr>
          <w:trHeight w:val="113"/>
        </w:trPr>
        <w:tc>
          <w:tcPr>
            <w:tcW w:w="2099" w:type="pct"/>
            <w:shd w:val="clear" w:color="auto" w:fill="auto"/>
            <w:hideMark/>
          </w:tcPr>
          <w:p w:rsidR="002E3AF6" w:rsidRPr="00B4075E" w:rsidRDefault="002E3AF6" w:rsidP="002E3AF6">
            <w:pPr>
              <w:spacing w:after="0" w:line="240" w:lineRule="auto"/>
              <w:rPr>
                <w:rFonts w:ascii="Sylfaen" w:eastAsia="Times New Roman" w:hAnsi="Sylfaen" w:cs="Calibri"/>
                <w:color w:val="000000"/>
                <w:sz w:val="14"/>
                <w:szCs w:val="14"/>
              </w:rPr>
            </w:pPr>
            <w:r w:rsidRPr="00B4075E">
              <w:rPr>
                <w:rFonts w:ascii="Sylfaen" w:eastAsia="Times New Roman" w:hAnsi="Sylfaen" w:cs="Calibri"/>
                <w:color w:val="000000"/>
                <w:sz w:val="14"/>
                <w:szCs w:val="14"/>
              </w:rPr>
              <w:t>გაფართოებული დაფინანსების მექანიზმის (EFF) პროგრამის ფარგლებში (COVID-19-ის პანდემია) საერთაშორისო სავალუტო ფონდიდან (IMF) მისაღები სახსრები</w:t>
            </w:r>
          </w:p>
        </w:tc>
        <w:tc>
          <w:tcPr>
            <w:tcW w:w="240" w:type="pct"/>
            <w:shd w:val="clear" w:color="auto" w:fill="auto"/>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imf</w:t>
            </w:r>
          </w:p>
        </w:tc>
        <w:tc>
          <w:tcPr>
            <w:tcW w:w="376"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171.8</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171.8</w:t>
            </w:r>
          </w:p>
        </w:tc>
        <w:tc>
          <w:tcPr>
            <w:tcW w:w="247"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171.8</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171.8</w:t>
            </w:r>
          </w:p>
        </w:tc>
        <w:tc>
          <w:tcPr>
            <w:tcW w:w="555"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171.8</w:t>
            </w:r>
          </w:p>
        </w:tc>
      </w:tr>
      <w:tr w:rsidR="002E3AF6" w:rsidRPr="00B4075E" w:rsidTr="001345DF">
        <w:trPr>
          <w:trHeight w:val="113"/>
        </w:trPr>
        <w:tc>
          <w:tcPr>
            <w:tcW w:w="2099" w:type="pct"/>
            <w:shd w:val="clear" w:color="auto" w:fill="auto"/>
            <w:hideMark/>
          </w:tcPr>
          <w:p w:rsidR="002E3AF6" w:rsidRPr="00B4075E" w:rsidRDefault="002E3AF6" w:rsidP="002E3AF6">
            <w:pPr>
              <w:spacing w:after="0" w:line="240" w:lineRule="auto"/>
              <w:rPr>
                <w:rFonts w:ascii="Sylfaen" w:eastAsia="Times New Roman" w:hAnsi="Sylfaen" w:cs="Calibri"/>
                <w:color w:val="000000"/>
                <w:sz w:val="14"/>
                <w:szCs w:val="14"/>
              </w:rPr>
            </w:pPr>
            <w:r w:rsidRPr="00B4075E">
              <w:rPr>
                <w:rFonts w:ascii="Sylfaen" w:eastAsia="Times New Roman" w:hAnsi="Sylfaen" w:cs="Calibri"/>
                <w:color w:val="000000"/>
                <w:sz w:val="14"/>
                <w:szCs w:val="14"/>
              </w:rPr>
              <w:t xml:space="preserve">საქართველოსა და ევროკავშირს შორის ფინანსური შეთანხმება "ფისკალური მდგრადობის პროგრამა" (გრანტი) </w:t>
            </w:r>
          </w:p>
        </w:tc>
        <w:tc>
          <w:tcPr>
            <w:tcW w:w="240" w:type="pct"/>
            <w:shd w:val="clear" w:color="auto" w:fill="auto"/>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EU</w:t>
            </w:r>
          </w:p>
        </w:tc>
        <w:tc>
          <w:tcPr>
            <w:tcW w:w="376"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28.09.2020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75.0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75.0</w:t>
            </w:r>
          </w:p>
        </w:tc>
        <w:tc>
          <w:tcPr>
            <w:tcW w:w="247"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75.0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60.0</w:t>
            </w:r>
          </w:p>
        </w:tc>
        <w:tc>
          <w:tcPr>
            <w:tcW w:w="555"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60.0</w:t>
            </w:r>
          </w:p>
        </w:tc>
      </w:tr>
      <w:tr w:rsidR="002E3AF6" w:rsidRPr="00B4075E" w:rsidTr="001345DF">
        <w:trPr>
          <w:trHeight w:val="113"/>
        </w:trPr>
        <w:tc>
          <w:tcPr>
            <w:tcW w:w="2099" w:type="pct"/>
            <w:shd w:val="clear" w:color="auto" w:fill="auto"/>
            <w:hideMark/>
          </w:tcPr>
          <w:p w:rsidR="002E3AF6" w:rsidRPr="00B4075E" w:rsidRDefault="002E3AF6" w:rsidP="002E3AF6">
            <w:pPr>
              <w:spacing w:after="0" w:line="240" w:lineRule="auto"/>
              <w:rPr>
                <w:rFonts w:ascii="Sylfaen" w:eastAsia="Times New Roman" w:hAnsi="Sylfaen" w:cs="Calibri"/>
                <w:color w:val="000000"/>
                <w:sz w:val="14"/>
                <w:szCs w:val="14"/>
              </w:rPr>
            </w:pPr>
            <w:r w:rsidRPr="00B4075E">
              <w:rPr>
                <w:rFonts w:ascii="Sylfaen" w:eastAsia="Times New Roman" w:hAnsi="Sylfaen" w:cs="Calibri"/>
                <w:color w:val="000000"/>
                <w:sz w:val="14"/>
                <w:szCs w:val="14"/>
              </w:rPr>
              <w:t xml:space="preserve">საქართველოსა და აზიის განვითარების ბანკს შორის (ADB) სასესხო შეთანხმება "თანამედროვე უნარები უკეთესი სამუშაო ადგილებისთვის" </w:t>
            </w:r>
          </w:p>
        </w:tc>
        <w:tc>
          <w:tcPr>
            <w:tcW w:w="240" w:type="pct"/>
            <w:shd w:val="clear" w:color="auto" w:fill="auto"/>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ADB</w:t>
            </w:r>
          </w:p>
        </w:tc>
        <w:tc>
          <w:tcPr>
            <w:tcW w:w="376"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9.12.2020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65.5</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42.4</w:t>
            </w:r>
          </w:p>
        </w:tc>
        <w:tc>
          <w:tcPr>
            <w:tcW w:w="247"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42.4</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42.4</w:t>
            </w:r>
          </w:p>
        </w:tc>
        <w:tc>
          <w:tcPr>
            <w:tcW w:w="555"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42.4</w:t>
            </w:r>
          </w:p>
        </w:tc>
      </w:tr>
      <w:tr w:rsidR="002E3AF6" w:rsidRPr="00B4075E" w:rsidTr="001345DF">
        <w:trPr>
          <w:trHeight w:val="113"/>
        </w:trPr>
        <w:tc>
          <w:tcPr>
            <w:tcW w:w="2099" w:type="pct"/>
            <w:shd w:val="clear" w:color="auto" w:fill="auto"/>
            <w:hideMark/>
          </w:tcPr>
          <w:p w:rsidR="002E3AF6" w:rsidRPr="00B4075E" w:rsidRDefault="002E3AF6" w:rsidP="002E3AF6">
            <w:pPr>
              <w:spacing w:after="0" w:line="240" w:lineRule="auto"/>
              <w:rPr>
                <w:rFonts w:ascii="Sylfaen" w:eastAsia="Times New Roman" w:hAnsi="Sylfaen" w:cs="Calibri"/>
                <w:color w:val="000000"/>
                <w:sz w:val="14"/>
                <w:szCs w:val="14"/>
              </w:rPr>
            </w:pPr>
            <w:r w:rsidRPr="00B4075E">
              <w:rPr>
                <w:rFonts w:ascii="Sylfaen" w:eastAsia="Times New Roman" w:hAnsi="Sylfaen" w:cs="Calibri"/>
                <w:color w:val="000000"/>
                <w:sz w:val="14"/>
                <w:szCs w:val="14"/>
              </w:rPr>
              <w:t xml:space="preserve">საქართველოსა და აზიის განვითარების ბანკს შორის (ADB) სასესხო შეთანხმება "წყალმომრაგებისა და წყალარინების სექტორის მდგრადი განვითარების პროგრამა" </w:t>
            </w:r>
          </w:p>
        </w:tc>
        <w:tc>
          <w:tcPr>
            <w:tcW w:w="240" w:type="pct"/>
            <w:shd w:val="clear" w:color="auto" w:fill="auto"/>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ADB</w:t>
            </w:r>
          </w:p>
        </w:tc>
        <w:tc>
          <w:tcPr>
            <w:tcW w:w="376"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15.10.2020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115.3</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115.3</w:t>
            </w:r>
          </w:p>
        </w:tc>
        <w:tc>
          <w:tcPr>
            <w:tcW w:w="247"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115.3</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70.9</w:t>
            </w:r>
          </w:p>
        </w:tc>
        <w:tc>
          <w:tcPr>
            <w:tcW w:w="555"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70.9</w:t>
            </w:r>
          </w:p>
        </w:tc>
      </w:tr>
      <w:tr w:rsidR="002E3AF6" w:rsidRPr="00B4075E" w:rsidTr="001345DF">
        <w:trPr>
          <w:trHeight w:val="113"/>
        </w:trPr>
        <w:tc>
          <w:tcPr>
            <w:tcW w:w="2099" w:type="pct"/>
            <w:shd w:val="clear" w:color="auto" w:fill="auto"/>
            <w:hideMark/>
          </w:tcPr>
          <w:p w:rsidR="002E3AF6" w:rsidRPr="00B4075E" w:rsidRDefault="002E3AF6" w:rsidP="002E3AF6">
            <w:pPr>
              <w:spacing w:after="0" w:line="240" w:lineRule="auto"/>
              <w:rPr>
                <w:rFonts w:ascii="Sylfaen" w:eastAsia="Times New Roman" w:hAnsi="Sylfaen" w:cs="Calibri"/>
                <w:color w:val="000000"/>
                <w:sz w:val="14"/>
                <w:szCs w:val="14"/>
              </w:rPr>
            </w:pPr>
            <w:r w:rsidRPr="00B4075E">
              <w:rPr>
                <w:rFonts w:ascii="Sylfaen" w:eastAsia="Times New Roman" w:hAnsi="Sylfaen" w:cs="Calibri"/>
                <w:color w:val="000000"/>
                <w:sz w:val="14"/>
                <w:szCs w:val="14"/>
              </w:rPr>
              <w:t>GUMIP ცვლილება და რეპროგრამირება კოვიდ პანდემიის კონტექსტში</w:t>
            </w:r>
          </w:p>
        </w:tc>
        <w:tc>
          <w:tcPr>
            <w:tcW w:w="240"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EIB</w:t>
            </w:r>
          </w:p>
        </w:tc>
        <w:tc>
          <w:tcPr>
            <w:tcW w:w="376"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21.12.2020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100.0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100.0</w:t>
            </w:r>
          </w:p>
        </w:tc>
        <w:tc>
          <w:tcPr>
            <w:tcW w:w="247"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100.0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50.0</w:t>
            </w:r>
          </w:p>
        </w:tc>
        <w:tc>
          <w:tcPr>
            <w:tcW w:w="555"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50.0</w:t>
            </w:r>
          </w:p>
        </w:tc>
      </w:tr>
      <w:tr w:rsidR="002E3AF6" w:rsidRPr="00B4075E" w:rsidTr="001345DF">
        <w:trPr>
          <w:trHeight w:val="113"/>
        </w:trPr>
        <w:tc>
          <w:tcPr>
            <w:tcW w:w="2099" w:type="pct"/>
            <w:shd w:val="clear" w:color="auto" w:fill="auto"/>
            <w:hideMark/>
          </w:tcPr>
          <w:p w:rsidR="002E3AF6" w:rsidRPr="00B4075E" w:rsidRDefault="002E3AF6" w:rsidP="002E3AF6">
            <w:pPr>
              <w:spacing w:after="0" w:line="240" w:lineRule="auto"/>
              <w:rPr>
                <w:rFonts w:ascii="Sylfaen" w:eastAsia="Times New Roman" w:hAnsi="Sylfaen" w:cs="Calibri"/>
                <w:color w:val="000000"/>
                <w:sz w:val="14"/>
                <w:szCs w:val="14"/>
              </w:rPr>
            </w:pPr>
            <w:r w:rsidRPr="00B4075E">
              <w:rPr>
                <w:rFonts w:ascii="Sylfaen" w:eastAsia="Times New Roman" w:hAnsi="Sylfaen" w:cs="Calibri"/>
                <w:color w:val="000000"/>
                <w:sz w:val="14"/>
                <w:szCs w:val="14"/>
              </w:rPr>
              <w:t xml:space="preserve">საქართველოსა და რეკონსტრუქციის საკრედიტო ბანკს </w:t>
            </w:r>
            <w:r w:rsidRPr="00B4075E">
              <w:rPr>
                <w:rFonts w:ascii="Sylfaen" w:eastAsia="Times New Roman" w:hAnsi="Sylfaen" w:cs="Arial"/>
                <w:color w:val="000000"/>
                <w:sz w:val="14"/>
                <w:szCs w:val="14"/>
              </w:rPr>
              <w:t xml:space="preserve">(KfW) </w:t>
            </w:r>
            <w:r w:rsidRPr="00B4075E">
              <w:rPr>
                <w:rFonts w:ascii="Sylfaen" w:eastAsia="Times New Roman" w:hAnsi="Sylfaen" w:cs="Sylfaen"/>
                <w:color w:val="000000"/>
                <w:sz w:val="14"/>
                <w:szCs w:val="14"/>
              </w:rPr>
              <w:t>შორის</w:t>
            </w:r>
            <w:r w:rsidRPr="00B4075E">
              <w:rPr>
                <w:rFonts w:ascii="Sylfaen" w:eastAsia="Times New Roman" w:hAnsi="Sylfaen" w:cs="Arial"/>
                <w:color w:val="000000"/>
                <w:sz w:val="14"/>
                <w:szCs w:val="14"/>
              </w:rPr>
              <w:t xml:space="preserve">  „COVID- 19 </w:t>
            </w:r>
            <w:r w:rsidRPr="00B4075E">
              <w:rPr>
                <w:rFonts w:ascii="Sylfaen" w:eastAsia="Times New Roman" w:hAnsi="Sylfaen" w:cs="Sylfaen"/>
                <w:color w:val="000000"/>
                <w:sz w:val="14"/>
                <w:szCs w:val="14"/>
              </w:rPr>
              <w:t>პანდემიის</w:t>
            </w:r>
            <w:r w:rsidRPr="00B4075E">
              <w:rPr>
                <w:rFonts w:ascii="Sylfaen" w:eastAsia="Times New Roman" w:hAnsi="Sylfaen" w:cs="Arial"/>
                <w:color w:val="000000"/>
                <w:sz w:val="14"/>
                <w:szCs w:val="14"/>
              </w:rPr>
              <w:t xml:space="preserve"> </w:t>
            </w:r>
            <w:r w:rsidRPr="00B4075E">
              <w:rPr>
                <w:rFonts w:ascii="Sylfaen" w:eastAsia="Times New Roman" w:hAnsi="Sylfaen" w:cs="Sylfaen"/>
                <w:color w:val="000000"/>
                <w:sz w:val="14"/>
                <w:szCs w:val="14"/>
              </w:rPr>
              <w:t>კონტექსტში</w:t>
            </w:r>
            <w:r w:rsidRPr="00B4075E">
              <w:rPr>
                <w:rFonts w:ascii="Sylfaen" w:eastAsia="Times New Roman" w:hAnsi="Sylfaen" w:cs="Arial"/>
                <w:color w:val="000000"/>
                <w:sz w:val="14"/>
                <w:szCs w:val="14"/>
              </w:rPr>
              <w:t xml:space="preserve"> </w:t>
            </w:r>
            <w:r w:rsidRPr="00B4075E">
              <w:rPr>
                <w:rFonts w:ascii="Sylfaen" w:eastAsia="Times New Roman" w:hAnsi="Sylfaen" w:cs="Sylfaen"/>
                <w:color w:val="000000"/>
                <w:sz w:val="14"/>
                <w:szCs w:val="14"/>
              </w:rPr>
              <w:t>სოციალური</w:t>
            </w:r>
            <w:r w:rsidRPr="00B4075E">
              <w:rPr>
                <w:rFonts w:ascii="Sylfaen" w:eastAsia="Times New Roman" w:hAnsi="Sylfaen" w:cs="Arial"/>
                <w:color w:val="000000"/>
                <w:sz w:val="14"/>
                <w:szCs w:val="14"/>
              </w:rPr>
              <w:t xml:space="preserve"> </w:t>
            </w:r>
            <w:r w:rsidRPr="00B4075E">
              <w:rPr>
                <w:rFonts w:ascii="Sylfaen" w:eastAsia="Times New Roman" w:hAnsi="Sylfaen" w:cs="Sylfaen"/>
                <w:color w:val="000000"/>
                <w:sz w:val="14"/>
                <w:szCs w:val="14"/>
              </w:rPr>
              <w:t>უსაფრთხოება</w:t>
            </w:r>
            <w:r w:rsidRPr="00B4075E">
              <w:rPr>
                <w:rFonts w:ascii="Sylfaen" w:eastAsia="Times New Roman" w:hAnsi="Sylfaen" w:cs="Arial"/>
                <w:color w:val="000000"/>
                <w:sz w:val="14"/>
                <w:szCs w:val="14"/>
              </w:rPr>
              <w:t xml:space="preserve">“ </w:t>
            </w:r>
            <w:r w:rsidRPr="00B4075E">
              <w:rPr>
                <w:rFonts w:ascii="Sylfaen" w:eastAsia="Times New Roman" w:hAnsi="Sylfaen" w:cs="Sylfaen"/>
                <w:color w:val="000000"/>
                <w:sz w:val="14"/>
                <w:szCs w:val="14"/>
              </w:rPr>
              <w:t>სასესხო</w:t>
            </w:r>
            <w:r w:rsidRPr="00B4075E">
              <w:rPr>
                <w:rFonts w:ascii="Sylfaen" w:eastAsia="Times New Roman" w:hAnsi="Sylfaen" w:cs="Arial"/>
                <w:color w:val="000000"/>
                <w:sz w:val="14"/>
                <w:szCs w:val="14"/>
              </w:rPr>
              <w:t xml:space="preserve"> </w:t>
            </w:r>
            <w:r w:rsidRPr="00B4075E">
              <w:rPr>
                <w:rFonts w:ascii="Sylfaen" w:eastAsia="Times New Roman" w:hAnsi="Sylfaen" w:cs="Sylfaen"/>
                <w:color w:val="000000"/>
                <w:sz w:val="14"/>
                <w:szCs w:val="14"/>
              </w:rPr>
              <w:t>შეთანხმება</w:t>
            </w:r>
          </w:p>
        </w:tc>
        <w:tc>
          <w:tcPr>
            <w:tcW w:w="240" w:type="pct"/>
            <w:shd w:val="clear" w:color="auto" w:fill="auto"/>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KFW</w:t>
            </w:r>
          </w:p>
        </w:tc>
        <w:tc>
          <w:tcPr>
            <w:tcW w:w="376"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29.10.2020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15.0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15.0</w:t>
            </w:r>
          </w:p>
        </w:tc>
        <w:tc>
          <w:tcPr>
            <w:tcW w:w="247"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15.0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4.1</w:t>
            </w:r>
          </w:p>
        </w:tc>
        <w:tc>
          <w:tcPr>
            <w:tcW w:w="555"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4.1</w:t>
            </w:r>
          </w:p>
        </w:tc>
      </w:tr>
      <w:tr w:rsidR="002E3AF6" w:rsidRPr="00B4075E" w:rsidTr="001345DF">
        <w:trPr>
          <w:trHeight w:val="113"/>
        </w:trPr>
        <w:tc>
          <w:tcPr>
            <w:tcW w:w="2099" w:type="pct"/>
            <w:shd w:val="clear" w:color="auto" w:fill="auto"/>
            <w:hideMark/>
          </w:tcPr>
          <w:p w:rsidR="002E3AF6" w:rsidRPr="00B4075E" w:rsidRDefault="002E3AF6" w:rsidP="002E3AF6">
            <w:pPr>
              <w:spacing w:after="0" w:line="240" w:lineRule="auto"/>
              <w:rPr>
                <w:rFonts w:ascii="Sylfaen" w:eastAsia="Times New Roman" w:hAnsi="Sylfaen" w:cs="Calibri"/>
                <w:color w:val="000000"/>
                <w:sz w:val="14"/>
                <w:szCs w:val="14"/>
              </w:rPr>
            </w:pPr>
            <w:r w:rsidRPr="00B4075E">
              <w:rPr>
                <w:rFonts w:ascii="Sylfaen" w:eastAsia="Times New Roman" w:hAnsi="Sylfaen" w:cs="Calibri"/>
                <w:color w:val="000000"/>
                <w:sz w:val="14"/>
                <w:szCs w:val="14"/>
              </w:rPr>
              <w:t>ევროკავშირს (როგორც სესხის გამცემს), საქართველოს (როგორც სესხის მიმღებს), და საქართველოს ეროვნულ ბანკს (როგორც სესხის მიმღების ფინანსურ აგენტს) შორის „მაკრო-ფინანსური დახმარება საქართველოსთვის III“ სასესხო და საგრანტო  შეთანხმება</w:t>
            </w:r>
          </w:p>
        </w:tc>
        <w:tc>
          <w:tcPr>
            <w:tcW w:w="240" w:type="pct"/>
            <w:shd w:val="clear" w:color="auto" w:fill="auto"/>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EU</w:t>
            </w:r>
          </w:p>
        </w:tc>
        <w:tc>
          <w:tcPr>
            <w:tcW w:w="376"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31.08.2018</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28.0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28.0</w:t>
            </w:r>
          </w:p>
        </w:tc>
        <w:tc>
          <w:tcPr>
            <w:tcW w:w="247"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25.0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3.0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28.0</w:t>
            </w:r>
          </w:p>
        </w:tc>
        <w:tc>
          <w:tcPr>
            <w:tcW w:w="555"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3.0</w:t>
            </w:r>
          </w:p>
        </w:tc>
      </w:tr>
      <w:tr w:rsidR="002E3AF6" w:rsidRPr="00B4075E" w:rsidTr="001345DF">
        <w:trPr>
          <w:trHeight w:val="113"/>
        </w:trPr>
        <w:tc>
          <w:tcPr>
            <w:tcW w:w="2099" w:type="pct"/>
            <w:shd w:val="clear" w:color="auto" w:fill="auto"/>
            <w:hideMark/>
          </w:tcPr>
          <w:p w:rsidR="002E3AF6" w:rsidRPr="00B4075E" w:rsidRDefault="002E3AF6" w:rsidP="002E3AF6">
            <w:pPr>
              <w:spacing w:after="0" w:line="240" w:lineRule="auto"/>
              <w:rPr>
                <w:rFonts w:ascii="Sylfaen" w:eastAsia="Times New Roman" w:hAnsi="Sylfaen" w:cs="Calibri"/>
                <w:color w:val="000000"/>
                <w:sz w:val="14"/>
                <w:szCs w:val="14"/>
              </w:rPr>
            </w:pPr>
            <w:r w:rsidRPr="00B4075E">
              <w:rPr>
                <w:rFonts w:ascii="Sylfaen" w:eastAsia="Times New Roman" w:hAnsi="Sylfaen" w:cs="Calibri"/>
                <w:color w:val="000000"/>
                <w:sz w:val="14"/>
                <w:szCs w:val="14"/>
              </w:rPr>
              <w:t>საქართველოსა და   რეკონსტრუქციისა და განვითარების საერთაშორისო ბანკს (IBRD) შორის სასესხო შეთანხმების (საქართველოს მიკრო, მცირე და საშუალო ზომის საწარმოების დახმარებისა და აღდგენის პროექტი)</w:t>
            </w:r>
          </w:p>
        </w:tc>
        <w:tc>
          <w:tcPr>
            <w:tcW w:w="240" w:type="pct"/>
            <w:shd w:val="clear" w:color="auto" w:fill="auto"/>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WB</w:t>
            </w:r>
          </w:p>
        </w:tc>
        <w:tc>
          <w:tcPr>
            <w:tcW w:w="376"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17.05.2021</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85.0</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85.0</w:t>
            </w:r>
          </w:p>
        </w:tc>
        <w:tc>
          <w:tcPr>
            <w:tcW w:w="247"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85.0</w:t>
            </w:r>
          </w:p>
        </w:tc>
        <w:tc>
          <w:tcPr>
            <w:tcW w:w="371" w:type="pct"/>
            <w:shd w:val="clear" w:color="auto" w:fill="auto"/>
            <w:noWrap/>
            <w:vAlign w:val="center"/>
          </w:tcPr>
          <w:p w:rsidR="002E3AF6" w:rsidRPr="00B4075E" w:rsidRDefault="002E3AF6" w:rsidP="002E3AF6">
            <w:pPr>
              <w:spacing w:after="0" w:line="240" w:lineRule="auto"/>
              <w:jc w:val="center"/>
              <w:rPr>
                <w:rFonts w:ascii="Sylfaen" w:eastAsia="Times New Roman" w:hAnsi="Sylfaen" w:cs="Calibri"/>
                <w:color w:val="000000"/>
                <w:sz w:val="14"/>
                <w:szCs w:val="14"/>
              </w:rPr>
            </w:pPr>
          </w:p>
        </w:tc>
        <w:tc>
          <w:tcPr>
            <w:tcW w:w="555" w:type="pct"/>
            <w:shd w:val="clear" w:color="auto" w:fill="auto"/>
            <w:noWrap/>
            <w:vAlign w:val="center"/>
          </w:tcPr>
          <w:p w:rsidR="002E3AF6" w:rsidRPr="00B4075E" w:rsidRDefault="002E3AF6" w:rsidP="002E3AF6">
            <w:pPr>
              <w:spacing w:after="0" w:line="240" w:lineRule="auto"/>
              <w:jc w:val="center"/>
              <w:rPr>
                <w:rFonts w:ascii="Sylfaen" w:eastAsia="Times New Roman" w:hAnsi="Sylfaen" w:cs="Calibri"/>
                <w:color w:val="000000"/>
                <w:sz w:val="14"/>
                <w:szCs w:val="14"/>
              </w:rPr>
            </w:pPr>
          </w:p>
        </w:tc>
      </w:tr>
      <w:tr w:rsidR="002E3AF6" w:rsidRPr="00B4075E" w:rsidTr="001345DF">
        <w:trPr>
          <w:trHeight w:val="113"/>
        </w:trPr>
        <w:tc>
          <w:tcPr>
            <w:tcW w:w="2099" w:type="pct"/>
            <w:shd w:val="clear" w:color="auto" w:fill="auto"/>
            <w:hideMark/>
          </w:tcPr>
          <w:p w:rsidR="002E3AF6" w:rsidRPr="00B4075E" w:rsidRDefault="002E3AF6" w:rsidP="002E3AF6">
            <w:pPr>
              <w:spacing w:after="0" w:line="240" w:lineRule="auto"/>
              <w:rPr>
                <w:rFonts w:ascii="Sylfaen" w:eastAsia="Times New Roman" w:hAnsi="Sylfaen" w:cs="Calibri"/>
                <w:color w:val="000000"/>
                <w:sz w:val="14"/>
                <w:szCs w:val="14"/>
              </w:rPr>
            </w:pPr>
            <w:r w:rsidRPr="00B4075E">
              <w:rPr>
                <w:rFonts w:ascii="Sylfaen" w:eastAsia="Times New Roman" w:hAnsi="Sylfaen" w:cs="Calibri"/>
                <w:color w:val="000000"/>
                <w:sz w:val="14"/>
                <w:szCs w:val="14"/>
              </w:rPr>
              <w:t>საქართველოსა და რეკონსტრუქციისა და განვითარების საერთაშორისო ბანკს (IBRD) შორის სასესხო შეთანხმების (COVID-19-ის წინააღმდეგ სწრაფი რეაგირების პროექტის დამატებითი დაფინანსება)</w:t>
            </w:r>
          </w:p>
        </w:tc>
        <w:tc>
          <w:tcPr>
            <w:tcW w:w="240" w:type="pct"/>
            <w:shd w:val="clear" w:color="auto" w:fill="auto"/>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WB</w:t>
            </w:r>
          </w:p>
        </w:tc>
        <w:tc>
          <w:tcPr>
            <w:tcW w:w="376"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09.06.2021</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28.7</w:t>
            </w: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28.7</w:t>
            </w:r>
          </w:p>
        </w:tc>
        <w:tc>
          <w:tcPr>
            <w:tcW w:w="247"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p>
        </w:tc>
        <w:tc>
          <w:tcPr>
            <w:tcW w:w="371"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color w:val="000000"/>
                <w:sz w:val="14"/>
                <w:szCs w:val="14"/>
              </w:rPr>
            </w:pPr>
            <w:r w:rsidRPr="00B4075E">
              <w:rPr>
                <w:rFonts w:ascii="Sylfaen" w:eastAsia="Times New Roman" w:hAnsi="Sylfaen" w:cs="Calibri"/>
                <w:color w:val="000000"/>
                <w:sz w:val="14"/>
                <w:szCs w:val="14"/>
              </w:rPr>
              <w:t>28.7</w:t>
            </w:r>
          </w:p>
        </w:tc>
        <w:tc>
          <w:tcPr>
            <w:tcW w:w="371" w:type="pct"/>
            <w:shd w:val="clear" w:color="auto" w:fill="auto"/>
            <w:noWrap/>
            <w:vAlign w:val="center"/>
          </w:tcPr>
          <w:p w:rsidR="002E3AF6" w:rsidRPr="00B4075E" w:rsidRDefault="002E3AF6" w:rsidP="002E3AF6">
            <w:pPr>
              <w:spacing w:after="0" w:line="240" w:lineRule="auto"/>
              <w:jc w:val="center"/>
              <w:rPr>
                <w:rFonts w:ascii="Sylfaen" w:eastAsia="Times New Roman" w:hAnsi="Sylfaen" w:cs="Calibri"/>
                <w:color w:val="000000"/>
                <w:sz w:val="14"/>
                <w:szCs w:val="14"/>
              </w:rPr>
            </w:pPr>
          </w:p>
        </w:tc>
        <w:tc>
          <w:tcPr>
            <w:tcW w:w="555" w:type="pct"/>
            <w:shd w:val="clear" w:color="auto" w:fill="auto"/>
            <w:noWrap/>
            <w:vAlign w:val="center"/>
          </w:tcPr>
          <w:p w:rsidR="002E3AF6" w:rsidRPr="00B4075E" w:rsidRDefault="002E3AF6" w:rsidP="002E3AF6">
            <w:pPr>
              <w:spacing w:after="0" w:line="240" w:lineRule="auto"/>
              <w:jc w:val="center"/>
              <w:rPr>
                <w:rFonts w:ascii="Sylfaen" w:eastAsia="Times New Roman" w:hAnsi="Sylfaen" w:cs="Calibri"/>
                <w:color w:val="000000"/>
                <w:sz w:val="14"/>
                <w:szCs w:val="14"/>
              </w:rPr>
            </w:pPr>
          </w:p>
        </w:tc>
      </w:tr>
      <w:tr w:rsidR="002E3AF6" w:rsidRPr="00B4075E" w:rsidTr="001345DF">
        <w:trPr>
          <w:trHeight w:val="292"/>
        </w:trPr>
        <w:tc>
          <w:tcPr>
            <w:tcW w:w="2099" w:type="pct"/>
            <w:shd w:val="clear" w:color="auto" w:fill="auto"/>
            <w:noWrap/>
            <w:hideMark/>
          </w:tcPr>
          <w:p w:rsidR="002E3AF6" w:rsidRPr="00B4075E" w:rsidRDefault="002E3AF6" w:rsidP="001E2350">
            <w:pPr>
              <w:spacing w:after="0" w:line="240" w:lineRule="auto"/>
              <w:jc w:val="center"/>
              <w:rPr>
                <w:rFonts w:ascii="Sylfaen" w:eastAsia="Times New Roman" w:hAnsi="Sylfaen" w:cs="Calibri"/>
                <w:b/>
                <w:bCs/>
                <w:color w:val="000000"/>
                <w:sz w:val="14"/>
                <w:szCs w:val="14"/>
              </w:rPr>
            </w:pPr>
            <w:r w:rsidRPr="00B4075E">
              <w:rPr>
                <w:rFonts w:ascii="Sylfaen" w:eastAsia="Times New Roman" w:hAnsi="Sylfaen" w:cs="Calibri"/>
                <w:b/>
                <w:bCs/>
                <w:color w:val="000000"/>
                <w:sz w:val="14"/>
                <w:szCs w:val="14"/>
              </w:rPr>
              <w:t>სულ Euro</w:t>
            </w:r>
          </w:p>
        </w:tc>
        <w:tc>
          <w:tcPr>
            <w:tcW w:w="240" w:type="pct"/>
            <w:shd w:val="clear" w:color="auto" w:fill="auto"/>
            <w:noWrap/>
            <w:hideMark/>
          </w:tcPr>
          <w:p w:rsidR="002E3AF6" w:rsidRPr="00B4075E" w:rsidRDefault="002E3AF6" w:rsidP="002E3AF6">
            <w:pPr>
              <w:spacing w:after="0" w:line="240" w:lineRule="auto"/>
              <w:rPr>
                <w:rFonts w:ascii="Sylfaen" w:eastAsia="Times New Roman" w:hAnsi="Sylfaen" w:cs="Calibri"/>
                <w:b/>
                <w:bCs/>
                <w:color w:val="000000"/>
                <w:sz w:val="14"/>
                <w:szCs w:val="14"/>
              </w:rPr>
            </w:pPr>
            <w:r w:rsidRPr="00B4075E">
              <w:rPr>
                <w:rFonts w:ascii="Sylfaen" w:eastAsia="Times New Roman" w:hAnsi="Sylfaen" w:cs="Calibri"/>
                <w:b/>
                <w:bCs/>
                <w:color w:val="000000"/>
                <w:sz w:val="14"/>
                <w:szCs w:val="14"/>
              </w:rPr>
              <w:t> </w:t>
            </w:r>
          </w:p>
        </w:tc>
        <w:tc>
          <w:tcPr>
            <w:tcW w:w="376" w:type="pct"/>
            <w:shd w:val="clear" w:color="auto" w:fill="auto"/>
            <w:noWrap/>
            <w:vAlign w:val="center"/>
            <w:hideMark/>
          </w:tcPr>
          <w:p w:rsidR="002E3AF6" w:rsidRPr="00B4075E" w:rsidRDefault="002E3AF6" w:rsidP="002E3AF6">
            <w:pPr>
              <w:spacing w:after="0" w:line="240" w:lineRule="auto"/>
              <w:jc w:val="center"/>
              <w:rPr>
                <w:rFonts w:ascii="Sylfaen" w:eastAsia="Times New Roman" w:hAnsi="Sylfaen" w:cs="Calibri"/>
                <w:b/>
                <w:bCs/>
                <w:color w:val="000000"/>
                <w:sz w:val="14"/>
                <w:szCs w:val="14"/>
              </w:rPr>
            </w:pPr>
            <w:r w:rsidRPr="00B4075E">
              <w:rPr>
                <w:rFonts w:ascii="Sylfaen" w:eastAsia="Times New Roman" w:hAnsi="Sylfaen" w:cs="Calibri"/>
                <w:b/>
                <w:bCs/>
                <w:color w:val="000000"/>
                <w:sz w:val="14"/>
                <w:szCs w:val="14"/>
              </w:rPr>
              <w:t> </w:t>
            </w:r>
          </w:p>
        </w:tc>
        <w:tc>
          <w:tcPr>
            <w:tcW w:w="371" w:type="pct"/>
            <w:shd w:val="clear" w:color="auto" w:fill="auto"/>
            <w:vAlign w:val="center"/>
            <w:hideMark/>
          </w:tcPr>
          <w:p w:rsidR="002E3AF6" w:rsidRPr="00B4075E" w:rsidRDefault="002E3AF6" w:rsidP="002E3AF6">
            <w:pPr>
              <w:spacing w:after="0" w:line="240" w:lineRule="auto"/>
              <w:jc w:val="center"/>
              <w:rPr>
                <w:rFonts w:ascii="Sylfaen" w:eastAsia="Times New Roman" w:hAnsi="Sylfaen" w:cs="Calibri"/>
                <w:b/>
                <w:bCs/>
                <w:color w:val="000000"/>
                <w:sz w:val="14"/>
                <w:szCs w:val="14"/>
              </w:rPr>
            </w:pPr>
            <w:r w:rsidRPr="00B4075E">
              <w:rPr>
                <w:rFonts w:ascii="Sylfaen" w:eastAsia="Times New Roman" w:hAnsi="Sylfaen" w:cs="Calibri"/>
                <w:b/>
                <w:bCs/>
                <w:color w:val="000000"/>
                <w:sz w:val="14"/>
                <w:szCs w:val="14"/>
              </w:rPr>
              <w:t>1,946.0</w:t>
            </w:r>
          </w:p>
        </w:tc>
        <w:tc>
          <w:tcPr>
            <w:tcW w:w="371" w:type="pct"/>
            <w:shd w:val="clear" w:color="auto" w:fill="auto"/>
            <w:vAlign w:val="center"/>
            <w:hideMark/>
          </w:tcPr>
          <w:p w:rsidR="002E3AF6" w:rsidRPr="00B4075E" w:rsidRDefault="002E3AF6" w:rsidP="002E3AF6">
            <w:pPr>
              <w:spacing w:after="0" w:line="240" w:lineRule="auto"/>
              <w:jc w:val="center"/>
              <w:rPr>
                <w:rFonts w:ascii="Sylfaen" w:eastAsia="Times New Roman" w:hAnsi="Sylfaen" w:cs="Calibri"/>
                <w:b/>
                <w:bCs/>
                <w:color w:val="000000"/>
                <w:sz w:val="14"/>
                <w:szCs w:val="14"/>
              </w:rPr>
            </w:pPr>
            <w:r w:rsidRPr="00B4075E">
              <w:rPr>
                <w:rFonts w:ascii="Sylfaen" w:eastAsia="Times New Roman" w:hAnsi="Sylfaen" w:cs="Calibri"/>
                <w:b/>
                <w:bCs/>
                <w:color w:val="000000"/>
                <w:sz w:val="14"/>
                <w:szCs w:val="14"/>
              </w:rPr>
              <w:t>1,839.6</w:t>
            </w:r>
          </w:p>
        </w:tc>
        <w:tc>
          <w:tcPr>
            <w:tcW w:w="247" w:type="pct"/>
            <w:shd w:val="clear" w:color="auto" w:fill="auto"/>
            <w:vAlign w:val="center"/>
            <w:hideMark/>
          </w:tcPr>
          <w:p w:rsidR="002E3AF6" w:rsidRPr="00B4075E" w:rsidRDefault="002E3AF6" w:rsidP="002E3AF6">
            <w:pPr>
              <w:spacing w:after="0" w:line="240" w:lineRule="auto"/>
              <w:jc w:val="center"/>
              <w:rPr>
                <w:rFonts w:ascii="Sylfaen" w:eastAsia="Times New Roman" w:hAnsi="Sylfaen" w:cs="Calibri"/>
                <w:b/>
                <w:bCs/>
                <w:color w:val="000000"/>
                <w:sz w:val="14"/>
                <w:szCs w:val="14"/>
              </w:rPr>
            </w:pPr>
            <w:r w:rsidRPr="00B4075E">
              <w:rPr>
                <w:rFonts w:ascii="Sylfaen" w:eastAsia="Times New Roman" w:hAnsi="Sylfaen" w:cs="Calibri"/>
                <w:b/>
                <w:bCs/>
                <w:color w:val="000000"/>
                <w:sz w:val="14"/>
                <w:szCs w:val="14"/>
              </w:rPr>
              <w:t>160.0</w:t>
            </w:r>
          </w:p>
        </w:tc>
        <w:tc>
          <w:tcPr>
            <w:tcW w:w="371" w:type="pct"/>
            <w:shd w:val="clear" w:color="auto" w:fill="auto"/>
            <w:vAlign w:val="center"/>
            <w:hideMark/>
          </w:tcPr>
          <w:p w:rsidR="002E3AF6" w:rsidRPr="00B4075E" w:rsidRDefault="002E3AF6" w:rsidP="002E3AF6">
            <w:pPr>
              <w:spacing w:after="0" w:line="240" w:lineRule="auto"/>
              <w:jc w:val="center"/>
              <w:rPr>
                <w:rFonts w:ascii="Sylfaen" w:eastAsia="Times New Roman" w:hAnsi="Sylfaen" w:cs="Calibri"/>
                <w:b/>
                <w:bCs/>
                <w:color w:val="000000"/>
                <w:sz w:val="14"/>
                <w:szCs w:val="14"/>
              </w:rPr>
            </w:pPr>
            <w:r w:rsidRPr="00B4075E">
              <w:rPr>
                <w:rFonts w:ascii="Sylfaen" w:eastAsia="Times New Roman" w:hAnsi="Sylfaen" w:cs="Calibri"/>
                <w:b/>
                <w:bCs/>
                <w:color w:val="000000"/>
                <w:sz w:val="14"/>
                <w:szCs w:val="14"/>
              </w:rPr>
              <w:t>1,679.6</w:t>
            </w:r>
          </w:p>
        </w:tc>
        <w:tc>
          <w:tcPr>
            <w:tcW w:w="371" w:type="pct"/>
            <w:shd w:val="clear" w:color="auto" w:fill="auto"/>
            <w:vAlign w:val="center"/>
            <w:hideMark/>
          </w:tcPr>
          <w:p w:rsidR="002E3AF6" w:rsidRPr="00B4075E" w:rsidRDefault="002E3AF6" w:rsidP="002E3AF6">
            <w:pPr>
              <w:spacing w:after="0" w:line="240" w:lineRule="auto"/>
              <w:jc w:val="center"/>
              <w:rPr>
                <w:rFonts w:ascii="Sylfaen" w:eastAsia="Times New Roman" w:hAnsi="Sylfaen" w:cs="Calibri"/>
                <w:b/>
                <w:bCs/>
                <w:color w:val="000000"/>
                <w:sz w:val="14"/>
                <w:szCs w:val="14"/>
              </w:rPr>
            </w:pPr>
            <w:r w:rsidRPr="00B4075E">
              <w:rPr>
                <w:rFonts w:ascii="Sylfaen" w:eastAsia="Times New Roman" w:hAnsi="Sylfaen" w:cs="Calibri"/>
                <w:b/>
                <w:bCs/>
                <w:color w:val="000000"/>
                <w:sz w:val="14"/>
                <w:szCs w:val="14"/>
              </w:rPr>
              <w:t>1,497.1</w:t>
            </w:r>
          </w:p>
        </w:tc>
        <w:tc>
          <w:tcPr>
            <w:tcW w:w="555" w:type="pct"/>
            <w:shd w:val="clear" w:color="auto" w:fill="auto"/>
            <w:vAlign w:val="center"/>
            <w:hideMark/>
          </w:tcPr>
          <w:p w:rsidR="002E3AF6" w:rsidRPr="00B4075E" w:rsidRDefault="002E3AF6" w:rsidP="002E3AF6">
            <w:pPr>
              <w:spacing w:after="0" w:line="240" w:lineRule="auto"/>
              <w:jc w:val="center"/>
              <w:rPr>
                <w:rFonts w:ascii="Sylfaen" w:eastAsia="Times New Roman" w:hAnsi="Sylfaen" w:cs="Calibri"/>
                <w:b/>
                <w:bCs/>
                <w:color w:val="000000"/>
                <w:sz w:val="14"/>
                <w:szCs w:val="14"/>
              </w:rPr>
            </w:pPr>
            <w:r w:rsidRPr="00B4075E">
              <w:rPr>
                <w:rFonts w:ascii="Sylfaen" w:eastAsia="Times New Roman" w:hAnsi="Sylfaen" w:cs="Calibri"/>
                <w:b/>
                <w:bCs/>
                <w:color w:val="000000"/>
                <w:sz w:val="14"/>
                <w:szCs w:val="14"/>
              </w:rPr>
              <w:t>1,337.1</w:t>
            </w:r>
          </w:p>
        </w:tc>
      </w:tr>
      <w:tr w:rsidR="002E3AF6" w:rsidRPr="00B4075E" w:rsidTr="001345DF">
        <w:trPr>
          <w:trHeight w:val="397"/>
        </w:trPr>
        <w:tc>
          <w:tcPr>
            <w:tcW w:w="2099" w:type="pct"/>
            <w:shd w:val="clear" w:color="auto" w:fill="auto"/>
            <w:noWrap/>
            <w:hideMark/>
          </w:tcPr>
          <w:p w:rsidR="002E3AF6" w:rsidRPr="00B4075E" w:rsidRDefault="002E3AF6" w:rsidP="001E2350">
            <w:pPr>
              <w:spacing w:after="0" w:line="240" w:lineRule="auto"/>
              <w:jc w:val="center"/>
              <w:rPr>
                <w:rFonts w:ascii="Sylfaen" w:eastAsia="Times New Roman" w:hAnsi="Sylfaen" w:cs="Calibri"/>
                <w:b/>
                <w:bCs/>
                <w:color w:val="000000"/>
                <w:sz w:val="14"/>
                <w:szCs w:val="14"/>
              </w:rPr>
            </w:pPr>
            <w:r w:rsidRPr="00B4075E">
              <w:rPr>
                <w:rFonts w:ascii="Sylfaen" w:eastAsia="Times New Roman" w:hAnsi="Sylfaen" w:cs="Calibri"/>
                <w:b/>
                <w:bCs/>
                <w:color w:val="000000"/>
                <w:sz w:val="14"/>
                <w:szCs w:val="14"/>
              </w:rPr>
              <w:t>სულ USD</w:t>
            </w:r>
          </w:p>
        </w:tc>
        <w:tc>
          <w:tcPr>
            <w:tcW w:w="240" w:type="pct"/>
            <w:shd w:val="clear" w:color="auto" w:fill="auto"/>
            <w:noWrap/>
            <w:hideMark/>
          </w:tcPr>
          <w:p w:rsidR="002E3AF6" w:rsidRPr="00B4075E" w:rsidRDefault="002E3AF6" w:rsidP="002E3AF6">
            <w:pPr>
              <w:spacing w:after="0" w:line="240" w:lineRule="auto"/>
              <w:rPr>
                <w:rFonts w:ascii="Sylfaen" w:eastAsia="Times New Roman" w:hAnsi="Sylfaen" w:cs="Calibri"/>
                <w:b/>
                <w:bCs/>
                <w:color w:val="000000"/>
                <w:sz w:val="14"/>
                <w:szCs w:val="14"/>
              </w:rPr>
            </w:pPr>
            <w:r w:rsidRPr="00B4075E">
              <w:rPr>
                <w:rFonts w:ascii="Sylfaen" w:eastAsia="Times New Roman" w:hAnsi="Sylfaen" w:cs="Calibri"/>
                <w:b/>
                <w:bCs/>
                <w:color w:val="000000"/>
                <w:sz w:val="14"/>
                <w:szCs w:val="14"/>
              </w:rPr>
              <w:t> </w:t>
            </w:r>
          </w:p>
        </w:tc>
        <w:tc>
          <w:tcPr>
            <w:tcW w:w="376" w:type="pct"/>
            <w:shd w:val="clear" w:color="auto" w:fill="auto"/>
            <w:noWrap/>
            <w:hideMark/>
          </w:tcPr>
          <w:p w:rsidR="002E3AF6" w:rsidRPr="00B4075E" w:rsidRDefault="002E3AF6" w:rsidP="002E3AF6">
            <w:pPr>
              <w:spacing w:after="0" w:line="240" w:lineRule="auto"/>
              <w:rPr>
                <w:rFonts w:ascii="Sylfaen" w:eastAsia="Times New Roman" w:hAnsi="Sylfaen" w:cs="Calibri"/>
                <w:b/>
                <w:bCs/>
                <w:color w:val="000000"/>
                <w:sz w:val="14"/>
                <w:szCs w:val="14"/>
              </w:rPr>
            </w:pPr>
            <w:r w:rsidRPr="00B4075E">
              <w:rPr>
                <w:rFonts w:ascii="Sylfaen" w:eastAsia="Times New Roman" w:hAnsi="Sylfaen" w:cs="Calibri"/>
                <w:b/>
                <w:bCs/>
                <w:color w:val="000000"/>
                <w:sz w:val="14"/>
                <w:szCs w:val="14"/>
              </w:rPr>
              <w:t> </w:t>
            </w:r>
          </w:p>
        </w:tc>
        <w:tc>
          <w:tcPr>
            <w:tcW w:w="371" w:type="pct"/>
            <w:shd w:val="clear" w:color="auto" w:fill="auto"/>
            <w:noWrap/>
            <w:hideMark/>
          </w:tcPr>
          <w:p w:rsidR="002E3AF6" w:rsidRPr="00B4075E" w:rsidRDefault="002E3AF6" w:rsidP="002E3AF6">
            <w:pPr>
              <w:spacing w:after="0" w:line="240" w:lineRule="auto"/>
              <w:jc w:val="center"/>
              <w:rPr>
                <w:rFonts w:ascii="Sylfaen" w:eastAsia="Times New Roman" w:hAnsi="Sylfaen" w:cs="Calibri"/>
                <w:b/>
                <w:bCs/>
                <w:color w:val="000000"/>
                <w:sz w:val="14"/>
                <w:szCs w:val="14"/>
              </w:rPr>
            </w:pPr>
            <w:r w:rsidRPr="00B4075E">
              <w:rPr>
                <w:rFonts w:ascii="Sylfaen" w:eastAsia="Times New Roman" w:hAnsi="Sylfaen" w:cs="Calibri"/>
                <w:b/>
                <w:bCs/>
                <w:color w:val="000000"/>
                <w:sz w:val="14"/>
                <w:szCs w:val="14"/>
              </w:rPr>
              <w:t>2,335.2</w:t>
            </w:r>
          </w:p>
        </w:tc>
        <w:tc>
          <w:tcPr>
            <w:tcW w:w="371" w:type="pct"/>
            <w:shd w:val="clear" w:color="auto" w:fill="auto"/>
            <w:noWrap/>
            <w:hideMark/>
          </w:tcPr>
          <w:p w:rsidR="002E3AF6" w:rsidRPr="00B4075E" w:rsidRDefault="002E3AF6" w:rsidP="002E3AF6">
            <w:pPr>
              <w:spacing w:after="0" w:line="240" w:lineRule="auto"/>
              <w:jc w:val="center"/>
              <w:rPr>
                <w:rFonts w:ascii="Sylfaen" w:eastAsia="Times New Roman" w:hAnsi="Sylfaen" w:cs="Calibri"/>
                <w:b/>
                <w:bCs/>
                <w:color w:val="000000"/>
                <w:sz w:val="14"/>
                <w:szCs w:val="14"/>
              </w:rPr>
            </w:pPr>
            <w:r w:rsidRPr="00B4075E">
              <w:rPr>
                <w:rFonts w:ascii="Sylfaen" w:eastAsia="Times New Roman" w:hAnsi="Sylfaen" w:cs="Calibri"/>
                <w:b/>
                <w:bCs/>
                <w:color w:val="000000"/>
                <w:sz w:val="14"/>
                <w:szCs w:val="14"/>
              </w:rPr>
              <w:t>2,207.5</w:t>
            </w:r>
          </w:p>
        </w:tc>
        <w:tc>
          <w:tcPr>
            <w:tcW w:w="247" w:type="pct"/>
            <w:shd w:val="clear" w:color="auto" w:fill="auto"/>
            <w:noWrap/>
            <w:hideMark/>
          </w:tcPr>
          <w:p w:rsidR="002E3AF6" w:rsidRPr="00B4075E" w:rsidRDefault="002E3AF6" w:rsidP="002E3AF6">
            <w:pPr>
              <w:spacing w:after="0" w:line="240" w:lineRule="auto"/>
              <w:jc w:val="center"/>
              <w:rPr>
                <w:rFonts w:ascii="Sylfaen" w:eastAsia="Times New Roman" w:hAnsi="Sylfaen" w:cs="Calibri"/>
                <w:b/>
                <w:bCs/>
                <w:color w:val="000000"/>
                <w:sz w:val="14"/>
                <w:szCs w:val="14"/>
              </w:rPr>
            </w:pPr>
            <w:r w:rsidRPr="00B4075E">
              <w:rPr>
                <w:rFonts w:ascii="Sylfaen" w:eastAsia="Times New Roman" w:hAnsi="Sylfaen" w:cs="Calibri"/>
                <w:b/>
                <w:bCs/>
                <w:color w:val="000000"/>
                <w:sz w:val="14"/>
                <w:szCs w:val="14"/>
              </w:rPr>
              <w:t>192.0</w:t>
            </w:r>
          </w:p>
        </w:tc>
        <w:tc>
          <w:tcPr>
            <w:tcW w:w="371" w:type="pct"/>
            <w:shd w:val="clear" w:color="auto" w:fill="auto"/>
            <w:noWrap/>
            <w:hideMark/>
          </w:tcPr>
          <w:p w:rsidR="002E3AF6" w:rsidRPr="00B4075E" w:rsidRDefault="002E3AF6" w:rsidP="002E3AF6">
            <w:pPr>
              <w:spacing w:after="0" w:line="240" w:lineRule="auto"/>
              <w:jc w:val="center"/>
              <w:rPr>
                <w:rFonts w:ascii="Sylfaen" w:eastAsia="Times New Roman" w:hAnsi="Sylfaen" w:cs="Calibri"/>
                <w:b/>
                <w:bCs/>
                <w:color w:val="000000"/>
                <w:sz w:val="14"/>
                <w:szCs w:val="14"/>
              </w:rPr>
            </w:pPr>
            <w:r w:rsidRPr="00B4075E">
              <w:rPr>
                <w:rFonts w:ascii="Sylfaen" w:eastAsia="Times New Roman" w:hAnsi="Sylfaen" w:cs="Calibri"/>
                <w:b/>
                <w:bCs/>
                <w:color w:val="000000"/>
                <w:sz w:val="14"/>
                <w:szCs w:val="14"/>
              </w:rPr>
              <w:t>2,015.5</w:t>
            </w:r>
          </w:p>
        </w:tc>
        <w:tc>
          <w:tcPr>
            <w:tcW w:w="371" w:type="pct"/>
            <w:shd w:val="clear" w:color="auto" w:fill="auto"/>
            <w:noWrap/>
            <w:hideMark/>
          </w:tcPr>
          <w:p w:rsidR="002E3AF6" w:rsidRPr="00B4075E" w:rsidRDefault="002E3AF6" w:rsidP="002E3AF6">
            <w:pPr>
              <w:spacing w:after="0" w:line="240" w:lineRule="auto"/>
              <w:jc w:val="center"/>
              <w:rPr>
                <w:rFonts w:ascii="Sylfaen" w:eastAsia="Times New Roman" w:hAnsi="Sylfaen" w:cs="Calibri"/>
                <w:b/>
                <w:bCs/>
                <w:color w:val="000000"/>
                <w:sz w:val="14"/>
                <w:szCs w:val="14"/>
              </w:rPr>
            </w:pPr>
            <w:r w:rsidRPr="00B4075E">
              <w:rPr>
                <w:rFonts w:ascii="Sylfaen" w:eastAsia="Times New Roman" w:hAnsi="Sylfaen" w:cs="Calibri"/>
                <w:b/>
                <w:bCs/>
                <w:color w:val="000000"/>
                <w:sz w:val="14"/>
                <w:szCs w:val="14"/>
              </w:rPr>
              <w:t>1,796.5</w:t>
            </w:r>
          </w:p>
        </w:tc>
        <w:tc>
          <w:tcPr>
            <w:tcW w:w="555" w:type="pct"/>
            <w:shd w:val="clear" w:color="auto" w:fill="auto"/>
            <w:noWrap/>
            <w:hideMark/>
          </w:tcPr>
          <w:p w:rsidR="002E3AF6" w:rsidRPr="00B4075E" w:rsidRDefault="002E3AF6" w:rsidP="002E3AF6">
            <w:pPr>
              <w:spacing w:after="0" w:line="240" w:lineRule="auto"/>
              <w:jc w:val="center"/>
              <w:rPr>
                <w:rFonts w:ascii="Sylfaen" w:eastAsia="Times New Roman" w:hAnsi="Sylfaen" w:cs="Calibri"/>
                <w:b/>
                <w:bCs/>
                <w:color w:val="000000"/>
                <w:sz w:val="14"/>
                <w:szCs w:val="14"/>
              </w:rPr>
            </w:pPr>
            <w:r w:rsidRPr="00B4075E">
              <w:rPr>
                <w:rFonts w:ascii="Sylfaen" w:eastAsia="Times New Roman" w:hAnsi="Sylfaen" w:cs="Calibri"/>
                <w:b/>
                <w:bCs/>
                <w:color w:val="000000"/>
                <w:sz w:val="14"/>
                <w:szCs w:val="14"/>
              </w:rPr>
              <w:t>1,604.5</w:t>
            </w:r>
          </w:p>
        </w:tc>
      </w:tr>
    </w:tbl>
    <w:p w:rsidR="002E3AF6" w:rsidRPr="00EE1ECF" w:rsidRDefault="002E3AF6" w:rsidP="00FB3484">
      <w:pPr>
        <w:spacing w:after="0" w:line="276" w:lineRule="auto"/>
        <w:jc w:val="both"/>
        <w:rPr>
          <w:rFonts w:ascii="Sylfaen" w:hAnsi="Sylfaen"/>
          <w:highlight w:val="yellow"/>
          <w:lang w:val="ka-GE"/>
        </w:rPr>
      </w:pPr>
    </w:p>
    <w:p w:rsidR="001225B5" w:rsidRDefault="001225B5">
      <w:pPr>
        <w:rPr>
          <w:rFonts w:ascii="Sylfaen" w:hAnsi="Sylfaen"/>
          <w:highlight w:val="yellow"/>
          <w:lang w:val="ka-GE"/>
        </w:rPr>
      </w:pPr>
      <w:r>
        <w:rPr>
          <w:rFonts w:ascii="Sylfaen" w:hAnsi="Sylfaen"/>
          <w:highlight w:val="yellow"/>
          <w:lang w:val="ka-GE"/>
        </w:rPr>
        <w:br w:type="page"/>
      </w:r>
    </w:p>
    <w:p w:rsidR="000C5F19" w:rsidRPr="004A63B3" w:rsidRDefault="000C5F19" w:rsidP="004A63B3">
      <w:pPr>
        <w:pStyle w:val="Heading1"/>
        <w:spacing w:line="240" w:lineRule="auto"/>
        <w:jc w:val="center"/>
        <w:rPr>
          <w:rFonts w:ascii="Sylfaen" w:hAnsi="Sylfaen" w:cs="Sylfaen"/>
          <w:b/>
          <w:sz w:val="22"/>
          <w:szCs w:val="22"/>
          <w:lang w:val="ka-GE"/>
        </w:rPr>
      </w:pPr>
      <w:r w:rsidRPr="004A63B3">
        <w:rPr>
          <w:rFonts w:ascii="Sylfaen" w:hAnsi="Sylfaen" w:cs="Sylfaen"/>
          <w:b/>
          <w:sz w:val="22"/>
          <w:szCs w:val="22"/>
          <w:lang w:val="ka-GE"/>
        </w:rPr>
        <w:t>COVID-19 პანდემიისთან დაკავშირებული ანტიკრიზისული გეგმით გათვალისწინებული ძირითადი ღონისძიებების დაფინანსება</w:t>
      </w:r>
      <w:r w:rsidR="004A63B3">
        <w:rPr>
          <w:rFonts w:ascii="Sylfaen" w:hAnsi="Sylfaen" w:cs="Sylfaen"/>
          <w:b/>
          <w:sz w:val="22"/>
          <w:szCs w:val="22"/>
          <w:lang w:val="ka-GE"/>
        </w:rPr>
        <w:t xml:space="preserve"> </w:t>
      </w:r>
    </w:p>
    <w:p w:rsidR="000C5F19" w:rsidRPr="00727970" w:rsidRDefault="000C5F19" w:rsidP="00FB3484">
      <w:pPr>
        <w:spacing w:line="276" w:lineRule="auto"/>
        <w:rPr>
          <w:rFonts w:ascii="Sylfaen" w:hAnsi="Sylfaen"/>
          <w:lang w:val="ka-GE"/>
        </w:rPr>
      </w:pPr>
    </w:p>
    <w:p w:rsidR="000C5F19" w:rsidRPr="00727970" w:rsidRDefault="003477C3" w:rsidP="00565AAE">
      <w:pPr>
        <w:spacing w:line="276" w:lineRule="auto"/>
        <w:jc w:val="both"/>
        <w:rPr>
          <w:rFonts w:ascii="Sylfaen" w:hAnsi="Sylfaen"/>
          <w:lang w:val="ka-GE"/>
        </w:rPr>
      </w:pPr>
      <w:r w:rsidRPr="00727970">
        <w:rPr>
          <w:rFonts w:ascii="Sylfaen" w:hAnsi="Sylfaen"/>
          <w:lang w:val="ka-GE"/>
        </w:rPr>
        <w:tab/>
      </w:r>
      <w:r w:rsidR="000C5F19" w:rsidRPr="00727970">
        <w:rPr>
          <w:rFonts w:ascii="Sylfaen" w:hAnsi="Sylfaen"/>
          <w:lang w:val="ka-GE"/>
        </w:rPr>
        <w:t>2020</w:t>
      </w:r>
      <w:r w:rsidR="00727970" w:rsidRPr="00727970">
        <w:rPr>
          <w:rFonts w:ascii="Sylfaen" w:hAnsi="Sylfaen"/>
        </w:rPr>
        <w:t xml:space="preserve">-2021 </w:t>
      </w:r>
      <w:r w:rsidR="00727970" w:rsidRPr="00727970">
        <w:rPr>
          <w:rFonts w:ascii="Sylfaen" w:hAnsi="Sylfaen"/>
          <w:lang w:val="ka-GE"/>
        </w:rPr>
        <w:t>წლებში</w:t>
      </w:r>
      <w:r w:rsidR="000C5F19" w:rsidRPr="00727970">
        <w:rPr>
          <w:rFonts w:ascii="Sylfaen" w:hAnsi="Sylfaen"/>
          <w:lang w:val="ka-GE"/>
        </w:rPr>
        <w:t xml:space="preserve"> </w:t>
      </w:r>
      <w:r w:rsidR="00727970" w:rsidRPr="00727970">
        <w:rPr>
          <w:rFonts w:ascii="Sylfaen" w:hAnsi="Sylfaen"/>
          <w:lang w:val="ka-GE"/>
        </w:rPr>
        <w:t xml:space="preserve">(6 თვის მდგომარეობით) </w:t>
      </w:r>
      <w:r w:rsidR="000C5F19" w:rsidRPr="00727970">
        <w:rPr>
          <w:rFonts w:ascii="Sylfaen" w:hAnsi="Sylfaen"/>
        </w:rPr>
        <w:t>COVID-19</w:t>
      </w:r>
      <w:r w:rsidR="000C5F19" w:rsidRPr="00727970">
        <w:rPr>
          <w:rFonts w:ascii="Sylfaen" w:hAnsi="Sylfaen"/>
          <w:lang w:val="ka-GE"/>
        </w:rPr>
        <w:t xml:space="preserve"> პანდემიასთან დაკავშირებული </w:t>
      </w:r>
      <w:r w:rsidR="00565AAE" w:rsidRPr="00727970">
        <w:rPr>
          <w:rFonts w:ascii="Sylfaen" w:hAnsi="Sylfaen"/>
          <w:lang w:val="ka-GE"/>
        </w:rPr>
        <w:t xml:space="preserve">საქართველოს მთავრობის </w:t>
      </w:r>
      <w:r w:rsidR="000C5F19" w:rsidRPr="00727970">
        <w:rPr>
          <w:rFonts w:ascii="Sylfaen" w:hAnsi="Sylfaen"/>
          <w:lang w:val="ka-GE"/>
        </w:rPr>
        <w:t xml:space="preserve">ანტიკრიზისული გეგმით გათვალისწინებული </w:t>
      </w:r>
      <w:r w:rsidRPr="00727970">
        <w:rPr>
          <w:rFonts w:ascii="Sylfaen" w:hAnsi="Sylfaen"/>
          <w:lang w:val="ka-GE"/>
        </w:rPr>
        <w:t>ღონისძიებებზე ფაქტიურად მიმართული იქნა:</w:t>
      </w:r>
    </w:p>
    <w:p w:rsidR="000C5F19" w:rsidRDefault="000C5F19" w:rsidP="001225B5">
      <w:pPr>
        <w:jc w:val="right"/>
        <w:rPr>
          <w:rFonts w:ascii="Sylfaen" w:hAnsi="Sylfaen"/>
          <w:i/>
          <w:color w:val="000000"/>
          <w:sz w:val="18"/>
          <w:szCs w:val="18"/>
          <w:lang w:val="ka-GE"/>
        </w:rPr>
      </w:pPr>
      <w:r w:rsidRPr="00AA11CA">
        <w:rPr>
          <w:rFonts w:ascii="Sylfaen" w:hAnsi="Sylfaen"/>
          <w:i/>
          <w:color w:val="000000"/>
          <w:sz w:val="18"/>
          <w:szCs w:val="18"/>
          <w:lang w:val="ka-GE"/>
        </w:rPr>
        <w:t>მლნ ლარში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5345"/>
        <w:gridCol w:w="1399"/>
        <w:gridCol w:w="2510"/>
        <w:gridCol w:w="1509"/>
      </w:tblGrid>
      <w:tr w:rsidR="001225B5" w:rsidRPr="001225B5" w:rsidTr="00CF2486">
        <w:trPr>
          <w:trHeight w:val="113"/>
          <w:tblHeader/>
        </w:trPr>
        <w:tc>
          <w:tcPr>
            <w:tcW w:w="2483" w:type="pct"/>
            <w:shd w:val="clear" w:color="auto" w:fill="auto"/>
            <w:vAlign w:val="center"/>
            <w:hideMark/>
          </w:tcPr>
          <w:p w:rsidR="001225B5" w:rsidRPr="001225B5" w:rsidRDefault="001225B5" w:rsidP="001225B5">
            <w:pPr>
              <w:spacing w:after="0" w:line="240" w:lineRule="auto"/>
              <w:jc w:val="center"/>
              <w:rPr>
                <w:rFonts w:ascii="Sylfaen" w:eastAsia="Times New Roman" w:hAnsi="Sylfaen" w:cs="Calibri"/>
                <w:b/>
                <w:bCs/>
                <w:color w:val="000000"/>
                <w:sz w:val="18"/>
                <w:szCs w:val="20"/>
              </w:rPr>
            </w:pPr>
            <w:r w:rsidRPr="001225B5">
              <w:rPr>
                <w:rFonts w:ascii="Sylfaen" w:eastAsia="Times New Roman" w:hAnsi="Sylfaen" w:cs="Calibri"/>
                <w:b/>
                <w:bCs/>
                <w:color w:val="000000"/>
                <w:sz w:val="18"/>
                <w:szCs w:val="20"/>
              </w:rPr>
              <w:t>ღონისძიება</w:t>
            </w:r>
          </w:p>
        </w:tc>
        <w:tc>
          <w:tcPr>
            <w:tcW w:w="650" w:type="pct"/>
            <w:shd w:val="clear" w:color="auto" w:fill="auto"/>
            <w:vAlign w:val="center"/>
            <w:hideMark/>
          </w:tcPr>
          <w:p w:rsidR="001225B5" w:rsidRPr="001225B5" w:rsidRDefault="001225B5" w:rsidP="001225B5">
            <w:pPr>
              <w:spacing w:after="0" w:line="240" w:lineRule="auto"/>
              <w:jc w:val="center"/>
              <w:rPr>
                <w:rFonts w:ascii="Sylfaen" w:eastAsia="Times New Roman" w:hAnsi="Sylfaen" w:cs="Calibri"/>
                <w:b/>
                <w:bCs/>
                <w:color w:val="000000"/>
                <w:sz w:val="18"/>
                <w:szCs w:val="20"/>
              </w:rPr>
            </w:pPr>
            <w:r w:rsidRPr="001225B5">
              <w:rPr>
                <w:rFonts w:ascii="Sylfaen" w:eastAsia="Times New Roman" w:hAnsi="Sylfaen" w:cs="Calibri"/>
                <w:b/>
                <w:bCs/>
                <w:color w:val="000000"/>
                <w:sz w:val="18"/>
                <w:szCs w:val="20"/>
              </w:rPr>
              <w:t>2020 წელი ფაქტი</w:t>
            </w:r>
          </w:p>
        </w:tc>
        <w:tc>
          <w:tcPr>
            <w:tcW w:w="1166" w:type="pct"/>
            <w:shd w:val="clear" w:color="auto" w:fill="auto"/>
            <w:vAlign w:val="center"/>
            <w:hideMark/>
          </w:tcPr>
          <w:p w:rsidR="001225B5" w:rsidRPr="001225B5" w:rsidRDefault="001225B5" w:rsidP="001225B5">
            <w:pPr>
              <w:spacing w:after="0" w:line="240" w:lineRule="auto"/>
              <w:jc w:val="center"/>
              <w:rPr>
                <w:rFonts w:ascii="Sylfaen" w:eastAsia="Times New Roman" w:hAnsi="Sylfaen" w:cs="Calibri"/>
                <w:b/>
                <w:bCs/>
                <w:color w:val="000000"/>
                <w:sz w:val="18"/>
                <w:szCs w:val="20"/>
              </w:rPr>
            </w:pPr>
            <w:r w:rsidRPr="001225B5">
              <w:rPr>
                <w:rFonts w:ascii="Sylfaen" w:eastAsia="Times New Roman" w:hAnsi="Sylfaen" w:cs="Calibri"/>
                <w:b/>
                <w:bCs/>
                <w:color w:val="000000"/>
                <w:sz w:val="18"/>
                <w:szCs w:val="20"/>
              </w:rPr>
              <w:t>2021 წლის პროგნოზი („საქართველოს 2021 წლის სახელმწიფო ბიუჯეტის შესახებ" საქართველოს კანონის ცვლილების გათვალისწინებით)</w:t>
            </w:r>
          </w:p>
        </w:tc>
        <w:tc>
          <w:tcPr>
            <w:tcW w:w="701" w:type="pct"/>
            <w:shd w:val="clear" w:color="auto" w:fill="auto"/>
            <w:vAlign w:val="center"/>
            <w:hideMark/>
          </w:tcPr>
          <w:p w:rsidR="001225B5" w:rsidRPr="001225B5" w:rsidRDefault="001225B5" w:rsidP="001225B5">
            <w:pPr>
              <w:spacing w:after="0" w:line="240" w:lineRule="auto"/>
              <w:jc w:val="center"/>
              <w:rPr>
                <w:rFonts w:ascii="Sylfaen" w:eastAsia="Times New Roman" w:hAnsi="Sylfaen" w:cs="Calibri"/>
                <w:b/>
                <w:bCs/>
                <w:color w:val="000000"/>
                <w:sz w:val="18"/>
                <w:szCs w:val="20"/>
              </w:rPr>
            </w:pPr>
            <w:r w:rsidRPr="001225B5">
              <w:rPr>
                <w:rFonts w:ascii="Sylfaen" w:eastAsia="Times New Roman" w:hAnsi="Sylfaen" w:cs="Calibri"/>
                <w:b/>
                <w:bCs/>
                <w:color w:val="000000"/>
                <w:sz w:val="18"/>
                <w:szCs w:val="20"/>
              </w:rPr>
              <w:t>2021 წლის 6 თვე</w:t>
            </w:r>
          </w:p>
        </w:tc>
      </w:tr>
      <w:tr w:rsidR="001225B5" w:rsidRPr="001225B5" w:rsidTr="00CF2486">
        <w:trPr>
          <w:trHeight w:val="113"/>
        </w:trPr>
        <w:tc>
          <w:tcPr>
            <w:tcW w:w="2483" w:type="pct"/>
            <w:shd w:val="clear" w:color="000000" w:fill="EDEDED"/>
            <w:vAlign w:val="center"/>
            <w:hideMark/>
          </w:tcPr>
          <w:p w:rsidR="001225B5" w:rsidRPr="001225B5" w:rsidRDefault="001225B5" w:rsidP="001225B5">
            <w:pPr>
              <w:spacing w:after="0" w:line="240" w:lineRule="auto"/>
              <w:jc w:val="center"/>
              <w:rPr>
                <w:rFonts w:ascii="Sylfaen" w:eastAsia="Times New Roman" w:hAnsi="Sylfaen" w:cs="Calibri"/>
                <w:b/>
                <w:bCs/>
                <w:color w:val="000000"/>
                <w:sz w:val="18"/>
                <w:szCs w:val="20"/>
              </w:rPr>
            </w:pPr>
            <w:r w:rsidRPr="001225B5">
              <w:rPr>
                <w:rFonts w:ascii="Sylfaen" w:eastAsia="Times New Roman" w:hAnsi="Sylfaen" w:cs="Calibri"/>
                <w:b/>
                <w:bCs/>
                <w:color w:val="000000"/>
                <w:sz w:val="18"/>
                <w:szCs w:val="20"/>
              </w:rPr>
              <w:t>ჯანმრთელობის დაცვის მიმართულება</w:t>
            </w:r>
          </w:p>
        </w:tc>
        <w:tc>
          <w:tcPr>
            <w:tcW w:w="650" w:type="pct"/>
            <w:shd w:val="clear" w:color="000000" w:fill="EDEDED"/>
            <w:noWrap/>
            <w:vAlign w:val="center"/>
            <w:hideMark/>
          </w:tcPr>
          <w:p w:rsidR="001225B5" w:rsidRPr="001225B5" w:rsidRDefault="001225B5" w:rsidP="001225B5">
            <w:pPr>
              <w:spacing w:after="0" w:line="240" w:lineRule="auto"/>
              <w:jc w:val="center"/>
              <w:rPr>
                <w:rFonts w:ascii="Sylfaen" w:eastAsia="Times New Roman" w:hAnsi="Sylfaen" w:cs="Calibri"/>
                <w:b/>
                <w:bCs/>
                <w:color w:val="000000"/>
                <w:sz w:val="18"/>
                <w:szCs w:val="20"/>
              </w:rPr>
            </w:pPr>
            <w:r w:rsidRPr="001225B5">
              <w:rPr>
                <w:rFonts w:ascii="Sylfaen" w:eastAsia="Times New Roman" w:hAnsi="Sylfaen" w:cs="Calibri"/>
                <w:b/>
                <w:bCs/>
                <w:color w:val="000000"/>
                <w:sz w:val="18"/>
                <w:szCs w:val="20"/>
              </w:rPr>
              <w:t>417,8</w:t>
            </w:r>
          </w:p>
        </w:tc>
        <w:tc>
          <w:tcPr>
            <w:tcW w:w="1166" w:type="pct"/>
            <w:shd w:val="clear" w:color="000000" w:fill="EDEDED"/>
            <w:noWrap/>
            <w:vAlign w:val="center"/>
            <w:hideMark/>
          </w:tcPr>
          <w:p w:rsidR="001225B5" w:rsidRPr="001225B5" w:rsidRDefault="001225B5" w:rsidP="001225B5">
            <w:pPr>
              <w:spacing w:after="0" w:line="240" w:lineRule="auto"/>
              <w:jc w:val="center"/>
              <w:rPr>
                <w:rFonts w:ascii="Sylfaen" w:eastAsia="Times New Roman" w:hAnsi="Sylfaen" w:cs="Calibri"/>
                <w:b/>
                <w:bCs/>
                <w:color w:val="000000"/>
                <w:sz w:val="18"/>
                <w:szCs w:val="20"/>
              </w:rPr>
            </w:pPr>
            <w:r w:rsidRPr="001225B5">
              <w:rPr>
                <w:rFonts w:ascii="Sylfaen" w:eastAsia="Times New Roman" w:hAnsi="Sylfaen" w:cs="Calibri"/>
                <w:b/>
                <w:bCs/>
                <w:color w:val="000000"/>
                <w:sz w:val="18"/>
                <w:szCs w:val="20"/>
              </w:rPr>
              <w:t>870,0</w:t>
            </w:r>
          </w:p>
        </w:tc>
        <w:tc>
          <w:tcPr>
            <w:tcW w:w="701" w:type="pct"/>
            <w:shd w:val="clear" w:color="000000" w:fill="EDEDED"/>
            <w:noWrap/>
            <w:vAlign w:val="center"/>
            <w:hideMark/>
          </w:tcPr>
          <w:p w:rsidR="001225B5" w:rsidRPr="001225B5" w:rsidRDefault="001225B5" w:rsidP="001225B5">
            <w:pPr>
              <w:spacing w:after="0" w:line="240" w:lineRule="auto"/>
              <w:jc w:val="center"/>
              <w:rPr>
                <w:rFonts w:ascii="Sylfaen" w:eastAsia="Times New Roman" w:hAnsi="Sylfaen" w:cs="Calibri"/>
                <w:b/>
                <w:bCs/>
                <w:color w:val="000000"/>
                <w:sz w:val="18"/>
                <w:szCs w:val="20"/>
              </w:rPr>
            </w:pPr>
            <w:r w:rsidRPr="001225B5">
              <w:rPr>
                <w:rFonts w:ascii="Sylfaen" w:eastAsia="Times New Roman" w:hAnsi="Sylfaen" w:cs="Calibri"/>
                <w:b/>
                <w:bCs/>
                <w:color w:val="000000"/>
                <w:sz w:val="18"/>
                <w:szCs w:val="20"/>
              </w:rPr>
              <w:t>453,8</w:t>
            </w:r>
          </w:p>
        </w:tc>
      </w:tr>
      <w:tr w:rsidR="001225B5" w:rsidRPr="001225B5" w:rsidTr="00CF2486">
        <w:trPr>
          <w:trHeight w:val="113"/>
        </w:trPr>
        <w:tc>
          <w:tcPr>
            <w:tcW w:w="2483" w:type="pct"/>
            <w:shd w:val="clear" w:color="auto" w:fill="auto"/>
            <w:vAlign w:val="center"/>
            <w:hideMark/>
          </w:tcPr>
          <w:p w:rsidR="001225B5" w:rsidRPr="001225B5" w:rsidRDefault="003B4F8A" w:rsidP="003B4F8A">
            <w:pPr>
              <w:spacing w:after="0" w:line="240" w:lineRule="auto"/>
              <w:rPr>
                <w:rFonts w:ascii="Sylfaen" w:eastAsia="Times New Roman" w:hAnsi="Sylfaen" w:cs="Calibri"/>
                <w:i/>
                <w:iCs/>
                <w:color w:val="000000"/>
                <w:sz w:val="18"/>
                <w:szCs w:val="20"/>
              </w:rPr>
            </w:pPr>
            <w:r>
              <w:rPr>
                <w:rFonts w:ascii="Sylfaen" w:eastAsia="Times New Roman" w:hAnsi="Sylfaen" w:cs="Calibri"/>
                <w:i/>
                <w:iCs/>
                <w:color w:val="000000"/>
                <w:sz w:val="18"/>
                <w:szCs w:val="20"/>
                <w:lang w:val="ka-GE"/>
              </w:rPr>
              <w:t xml:space="preserve">        </w:t>
            </w:r>
            <w:r w:rsidR="001225B5" w:rsidRPr="001225B5">
              <w:rPr>
                <w:rFonts w:ascii="Sylfaen" w:eastAsia="Times New Roman" w:hAnsi="Sylfaen" w:cs="Calibri"/>
                <w:i/>
                <w:iCs/>
                <w:color w:val="000000"/>
                <w:sz w:val="18"/>
                <w:szCs w:val="20"/>
              </w:rPr>
              <w:t>მათ შორის, COVID-19-ის ვაქცინაზე ხელმისაწვდომობა</w:t>
            </w:r>
          </w:p>
        </w:tc>
        <w:tc>
          <w:tcPr>
            <w:tcW w:w="650"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16,7</w:t>
            </w:r>
          </w:p>
        </w:tc>
        <w:tc>
          <w:tcPr>
            <w:tcW w:w="1166"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160,0</w:t>
            </w:r>
          </w:p>
        </w:tc>
        <w:tc>
          <w:tcPr>
            <w:tcW w:w="701"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95,7</w:t>
            </w:r>
          </w:p>
        </w:tc>
      </w:tr>
      <w:tr w:rsidR="001225B5" w:rsidRPr="001225B5" w:rsidTr="00CF2486">
        <w:trPr>
          <w:trHeight w:val="113"/>
        </w:trPr>
        <w:tc>
          <w:tcPr>
            <w:tcW w:w="2483" w:type="pct"/>
            <w:shd w:val="clear" w:color="000000" w:fill="EDEDED"/>
            <w:vAlign w:val="center"/>
            <w:hideMark/>
          </w:tcPr>
          <w:p w:rsidR="001225B5" w:rsidRPr="001225B5" w:rsidRDefault="001225B5" w:rsidP="001225B5">
            <w:pPr>
              <w:spacing w:after="0" w:line="240" w:lineRule="auto"/>
              <w:jc w:val="center"/>
              <w:rPr>
                <w:rFonts w:ascii="Sylfaen" w:eastAsia="Times New Roman" w:hAnsi="Sylfaen" w:cs="Calibri"/>
                <w:b/>
                <w:bCs/>
                <w:color w:val="000000"/>
                <w:sz w:val="18"/>
                <w:szCs w:val="20"/>
              </w:rPr>
            </w:pPr>
            <w:r w:rsidRPr="001225B5">
              <w:rPr>
                <w:rFonts w:ascii="Sylfaen" w:eastAsia="Times New Roman" w:hAnsi="Sylfaen" w:cs="Calibri"/>
                <w:b/>
                <w:bCs/>
                <w:color w:val="000000"/>
                <w:sz w:val="18"/>
                <w:szCs w:val="20"/>
              </w:rPr>
              <w:t>მისახლეობის სოციალური დაცვის მიმართულება</w:t>
            </w:r>
          </w:p>
        </w:tc>
        <w:tc>
          <w:tcPr>
            <w:tcW w:w="650" w:type="pct"/>
            <w:shd w:val="clear" w:color="000000" w:fill="EDEDED"/>
            <w:noWrap/>
            <w:vAlign w:val="center"/>
            <w:hideMark/>
          </w:tcPr>
          <w:p w:rsidR="001225B5" w:rsidRPr="001225B5" w:rsidRDefault="001225B5" w:rsidP="001225B5">
            <w:pPr>
              <w:spacing w:after="0" w:line="240" w:lineRule="auto"/>
              <w:jc w:val="center"/>
              <w:rPr>
                <w:rFonts w:ascii="Sylfaen" w:eastAsia="Times New Roman" w:hAnsi="Sylfaen" w:cs="Calibri"/>
                <w:b/>
                <w:bCs/>
                <w:color w:val="000000"/>
                <w:sz w:val="18"/>
                <w:szCs w:val="20"/>
              </w:rPr>
            </w:pPr>
            <w:r w:rsidRPr="001225B5">
              <w:rPr>
                <w:rFonts w:ascii="Sylfaen" w:eastAsia="Times New Roman" w:hAnsi="Sylfaen" w:cs="Calibri"/>
                <w:b/>
                <w:bCs/>
                <w:color w:val="000000"/>
                <w:sz w:val="18"/>
                <w:szCs w:val="20"/>
              </w:rPr>
              <w:t>918,0</w:t>
            </w:r>
          </w:p>
        </w:tc>
        <w:tc>
          <w:tcPr>
            <w:tcW w:w="1166" w:type="pct"/>
            <w:shd w:val="clear" w:color="000000" w:fill="EDEDED"/>
            <w:noWrap/>
            <w:vAlign w:val="center"/>
            <w:hideMark/>
          </w:tcPr>
          <w:p w:rsidR="001225B5" w:rsidRPr="001225B5" w:rsidRDefault="001225B5" w:rsidP="001225B5">
            <w:pPr>
              <w:spacing w:after="0" w:line="240" w:lineRule="auto"/>
              <w:jc w:val="center"/>
              <w:rPr>
                <w:rFonts w:ascii="Sylfaen" w:eastAsia="Times New Roman" w:hAnsi="Sylfaen" w:cs="Calibri"/>
                <w:b/>
                <w:bCs/>
                <w:color w:val="000000"/>
                <w:sz w:val="18"/>
                <w:szCs w:val="20"/>
              </w:rPr>
            </w:pPr>
            <w:r w:rsidRPr="001225B5">
              <w:rPr>
                <w:rFonts w:ascii="Sylfaen" w:eastAsia="Times New Roman" w:hAnsi="Sylfaen" w:cs="Calibri"/>
                <w:b/>
                <w:bCs/>
                <w:color w:val="000000"/>
                <w:sz w:val="18"/>
                <w:szCs w:val="20"/>
              </w:rPr>
              <w:t>380,1</w:t>
            </w:r>
          </w:p>
        </w:tc>
        <w:tc>
          <w:tcPr>
            <w:tcW w:w="701" w:type="pct"/>
            <w:shd w:val="clear" w:color="000000" w:fill="EDEDED"/>
            <w:noWrap/>
            <w:vAlign w:val="center"/>
            <w:hideMark/>
          </w:tcPr>
          <w:p w:rsidR="001225B5" w:rsidRPr="001225B5" w:rsidRDefault="001225B5" w:rsidP="001225B5">
            <w:pPr>
              <w:spacing w:after="0" w:line="240" w:lineRule="auto"/>
              <w:jc w:val="center"/>
              <w:rPr>
                <w:rFonts w:ascii="Sylfaen" w:eastAsia="Times New Roman" w:hAnsi="Sylfaen" w:cs="Calibri"/>
                <w:b/>
                <w:bCs/>
                <w:color w:val="000000"/>
                <w:sz w:val="18"/>
                <w:szCs w:val="20"/>
              </w:rPr>
            </w:pPr>
            <w:r w:rsidRPr="001225B5">
              <w:rPr>
                <w:rFonts w:ascii="Sylfaen" w:eastAsia="Times New Roman" w:hAnsi="Sylfaen" w:cs="Calibri"/>
                <w:b/>
                <w:bCs/>
                <w:color w:val="000000"/>
                <w:sz w:val="18"/>
                <w:szCs w:val="20"/>
              </w:rPr>
              <w:t>346,1</w:t>
            </w:r>
          </w:p>
        </w:tc>
      </w:tr>
      <w:tr w:rsidR="001225B5" w:rsidRPr="001225B5" w:rsidTr="00CF2486">
        <w:trPr>
          <w:trHeight w:val="113"/>
        </w:trPr>
        <w:tc>
          <w:tcPr>
            <w:tcW w:w="2483" w:type="pct"/>
            <w:shd w:val="clear" w:color="auto" w:fill="auto"/>
            <w:vAlign w:val="center"/>
            <w:hideMark/>
          </w:tcPr>
          <w:p w:rsidR="001225B5" w:rsidRPr="001225B5" w:rsidRDefault="001225B5" w:rsidP="001225B5">
            <w:pPr>
              <w:spacing w:after="0" w:line="240" w:lineRule="auto"/>
              <w:rPr>
                <w:rFonts w:ascii="Sylfaen" w:eastAsia="Times New Roman" w:hAnsi="Sylfaen" w:cs="Calibri"/>
                <w:color w:val="000000"/>
                <w:sz w:val="18"/>
                <w:szCs w:val="20"/>
              </w:rPr>
            </w:pPr>
            <w:r w:rsidRPr="001225B5">
              <w:rPr>
                <w:rFonts w:ascii="Sylfaen" w:eastAsia="Times New Roman" w:hAnsi="Sylfaen" w:cs="Calibri"/>
                <w:color w:val="000000"/>
                <w:sz w:val="18"/>
                <w:szCs w:val="20"/>
              </w:rPr>
              <w:t>სოციალურად დაუცველი ოჯახებისათვის ფულადი დახმარება/ კომპენსაცია</w:t>
            </w:r>
          </w:p>
        </w:tc>
        <w:tc>
          <w:tcPr>
            <w:tcW w:w="650"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64,7</w:t>
            </w:r>
          </w:p>
        </w:tc>
        <w:tc>
          <w:tcPr>
            <w:tcW w:w="1166"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75,1</w:t>
            </w:r>
          </w:p>
        </w:tc>
        <w:tc>
          <w:tcPr>
            <w:tcW w:w="701"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74,9</w:t>
            </w:r>
          </w:p>
        </w:tc>
      </w:tr>
      <w:tr w:rsidR="001225B5" w:rsidRPr="001225B5" w:rsidTr="00CF2486">
        <w:trPr>
          <w:trHeight w:val="113"/>
        </w:trPr>
        <w:tc>
          <w:tcPr>
            <w:tcW w:w="2483" w:type="pct"/>
            <w:shd w:val="clear" w:color="auto" w:fill="auto"/>
            <w:vAlign w:val="center"/>
            <w:hideMark/>
          </w:tcPr>
          <w:p w:rsidR="001225B5" w:rsidRPr="001225B5" w:rsidRDefault="001225B5" w:rsidP="001225B5">
            <w:pPr>
              <w:spacing w:after="0" w:line="240" w:lineRule="auto"/>
              <w:rPr>
                <w:rFonts w:ascii="Sylfaen" w:eastAsia="Times New Roman" w:hAnsi="Sylfaen" w:cs="Calibri"/>
                <w:color w:val="000000"/>
                <w:sz w:val="18"/>
                <w:szCs w:val="20"/>
              </w:rPr>
            </w:pPr>
            <w:r w:rsidRPr="001225B5">
              <w:rPr>
                <w:rFonts w:ascii="Sylfaen" w:eastAsia="Times New Roman" w:hAnsi="Sylfaen" w:cs="Calibri"/>
                <w:color w:val="000000"/>
                <w:sz w:val="18"/>
                <w:szCs w:val="20"/>
              </w:rPr>
              <w:t>შშმ პირებისათვის ფულადი დახმარება/კომპენსაცია</w:t>
            </w:r>
          </w:p>
        </w:tc>
        <w:tc>
          <w:tcPr>
            <w:tcW w:w="650"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26,0</w:t>
            </w:r>
          </w:p>
        </w:tc>
        <w:tc>
          <w:tcPr>
            <w:tcW w:w="1166"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27,3</w:t>
            </w:r>
          </w:p>
        </w:tc>
        <w:tc>
          <w:tcPr>
            <w:tcW w:w="701"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27,3</w:t>
            </w:r>
          </w:p>
        </w:tc>
      </w:tr>
      <w:tr w:rsidR="001225B5" w:rsidRPr="001225B5" w:rsidTr="00CF2486">
        <w:trPr>
          <w:trHeight w:val="113"/>
        </w:trPr>
        <w:tc>
          <w:tcPr>
            <w:tcW w:w="2483" w:type="pct"/>
            <w:shd w:val="clear" w:color="auto" w:fill="auto"/>
            <w:vAlign w:val="center"/>
            <w:hideMark/>
          </w:tcPr>
          <w:p w:rsidR="001225B5" w:rsidRPr="001225B5" w:rsidRDefault="001225B5" w:rsidP="001225B5">
            <w:pPr>
              <w:spacing w:after="0" w:line="240" w:lineRule="auto"/>
              <w:rPr>
                <w:rFonts w:ascii="Sylfaen" w:eastAsia="Times New Roman" w:hAnsi="Sylfaen" w:cs="Calibri"/>
                <w:color w:val="000000"/>
                <w:sz w:val="18"/>
                <w:szCs w:val="20"/>
              </w:rPr>
            </w:pPr>
            <w:r w:rsidRPr="001225B5">
              <w:rPr>
                <w:rFonts w:ascii="Sylfaen" w:eastAsia="Times New Roman" w:hAnsi="Sylfaen" w:cs="Calibri"/>
                <w:color w:val="000000"/>
                <w:sz w:val="18"/>
                <w:szCs w:val="20"/>
              </w:rPr>
              <w:t>ფულადი დახმარება/კომპენსაცია დაქირავებით მომუშავე ფიზიკური პირებისათვის</w:t>
            </w:r>
          </w:p>
        </w:tc>
        <w:tc>
          <w:tcPr>
            <w:tcW w:w="650"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131,2</w:t>
            </w:r>
          </w:p>
        </w:tc>
        <w:tc>
          <w:tcPr>
            <w:tcW w:w="1166"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147,3</w:t>
            </w:r>
          </w:p>
        </w:tc>
        <w:tc>
          <w:tcPr>
            <w:tcW w:w="701"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141,9</w:t>
            </w:r>
          </w:p>
        </w:tc>
      </w:tr>
      <w:tr w:rsidR="001225B5" w:rsidRPr="001225B5" w:rsidTr="00CF2486">
        <w:trPr>
          <w:trHeight w:val="113"/>
        </w:trPr>
        <w:tc>
          <w:tcPr>
            <w:tcW w:w="2483" w:type="pct"/>
            <w:shd w:val="clear" w:color="auto" w:fill="auto"/>
            <w:vAlign w:val="center"/>
            <w:hideMark/>
          </w:tcPr>
          <w:p w:rsidR="001225B5" w:rsidRPr="001225B5" w:rsidRDefault="001225B5" w:rsidP="001225B5">
            <w:pPr>
              <w:spacing w:after="0" w:line="240" w:lineRule="auto"/>
              <w:rPr>
                <w:rFonts w:ascii="Sylfaen" w:eastAsia="Times New Roman" w:hAnsi="Sylfaen" w:cs="Calibri"/>
                <w:color w:val="000000"/>
                <w:sz w:val="18"/>
                <w:szCs w:val="20"/>
              </w:rPr>
            </w:pPr>
            <w:r w:rsidRPr="001225B5">
              <w:rPr>
                <w:rFonts w:ascii="Sylfaen" w:eastAsia="Times New Roman" w:hAnsi="Sylfaen" w:cs="Calibri"/>
                <w:color w:val="000000"/>
                <w:sz w:val="18"/>
                <w:szCs w:val="20"/>
              </w:rPr>
              <w:t>ფულადი დახმარება/კომპენსაცია ინდ.მეწარმეებისა და გადასახადის გადამხდელი ფიზიკური პირებისათვის</w:t>
            </w:r>
          </w:p>
        </w:tc>
        <w:tc>
          <w:tcPr>
            <w:tcW w:w="650"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110,8</w:t>
            </w:r>
          </w:p>
        </w:tc>
        <w:tc>
          <w:tcPr>
            <w:tcW w:w="1166"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0,4</w:t>
            </w:r>
          </w:p>
        </w:tc>
        <w:tc>
          <w:tcPr>
            <w:tcW w:w="701"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0,4</w:t>
            </w:r>
          </w:p>
        </w:tc>
      </w:tr>
      <w:tr w:rsidR="001225B5" w:rsidRPr="001225B5" w:rsidTr="00CF2486">
        <w:trPr>
          <w:trHeight w:val="113"/>
        </w:trPr>
        <w:tc>
          <w:tcPr>
            <w:tcW w:w="2483" w:type="pct"/>
            <w:shd w:val="clear" w:color="auto" w:fill="auto"/>
            <w:vAlign w:val="center"/>
            <w:hideMark/>
          </w:tcPr>
          <w:p w:rsidR="001225B5" w:rsidRPr="001225B5" w:rsidRDefault="001225B5" w:rsidP="001225B5">
            <w:pPr>
              <w:spacing w:after="0" w:line="240" w:lineRule="auto"/>
              <w:rPr>
                <w:rFonts w:ascii="Sylfaen" w:eastAsia="Times New Roman" w:hAnsi="Sylfaen" w:cs="Calibri"/>
                <w:color w:val="000000"/>
                <w:sz w:val="18"/>
                <w:szCs w:val="20"/>
              </w:rPr>
            </w:pPr>
            <w:r w:rsidRPr="001225B5">
              <w:rPr>
                <w:rFonts w:ascii="Sylfaen" w:eastAsia="Times New Roman" w:hAnsi="Sylfaen" w:cs="Calibri"/>
                <w:color w:val="000000"/>
                <w:sz w:val="18"/>
                <w:szCs w:val="20"/>
              </w:rPr>
              <w:t>COVID-19-დან გამომდინარე მოსახლეობის კომუნალური გადასახადების სუბსიდირება/გაზრდილი ტარიფის სუბსიდისიდირება (</w:t>
            </w:r>
            <w:r w:rsidRPr="001225B5">
              <w:rPr>
                <w:rFonts w:ascii="Sylfaen" w:eastAsia="Times New Roman" w:hAnsi="Sylfaen" w:cs="Calibri"/>
                <w:i/>
                <w:iCs/>
                <w:color w:val="000000"/>
                <w:sz w:val="18"/>
                <w:szCs w:val="20"/>
              </w:rPr>
              <w:t>2021 წლიდან</w:t>
            </w:r>
            <w:r w:rsidRPr="001225B5">
              <w:rPr>
                <w:rFonts w:ascii="Sylfaen" w:eastAsia="Times New Roman" w:hAnsi="Sylfaen" w:cs="Calibri"/>
                <w:color w:val="000000"/>
                <w:sz w:val="18"/>
                <w:szCs w:val="20"/>
              </w:rPr>
              <w:t>)</w:t>
            </w:r>
          </w:p>
        </w:tc>
        <w:tc>
          <w:tcPr>
            <w:tcW w:w="650"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382,7</w:t>
            </w:r>
          </w:p>
        </w:tc>
        <w:tc>
          <w:tcPr>
            <w:tcW w:w="1166"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130,0</w:t>
            </w:r>
          </w:p>
        </w:tc>
        <w:tc>
          <w:tcPr>
            <w:tcW w:w="701"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101,6</w:t>
            </w:r>
          </w:p>
        </w:tc>
      </w:tr>
      <w:tr w:rsidR="001225B5" w:rsidRPr="001225B5" w:rsidTr="00CF2486">
        <w:trPr>
          <w:trHeight w:val="113"/>
        </w:trPr>
        <w:tc>
          <w:tcPr>
            <w:tcW w:w="2483" w:type="pct"/>
            <w:shd w:val="clear" w:color="auto" w:fill="auto"/>
            <w:vAlign w:val="center"/>
            <w:hideMark/>
          </w:tcPr>
          <w:p w:rsidR="001225B5" w:rsidRPr="001225B5" w:rsidRDefault="001225B5" w:rsidP="001225B5">
            <w:pPr>
              <w:spacing w:after="0" w:line="240" w:lineRule="auto"/>
              <w:rPr>
                <w:rFonts w:ascii="Sylfaen" w:eastAsia="Times New Roman" w:hAnsi="Sylfaen" w:cs="Calibri"/>
                <w:color w:val="000000"/>
                <w:sz w:val="18"/>
                <w:szCs w:val="20"/>
              </w:rPr>
            </w:pPr>
            <w:r w:rsidRPr="001225B5">
              <w:rPr>
                <w:rFonts w:ascii="Sylfaen" w:eastAsia="Times New Roman" w:hAnsi="Sylfaen" w:cs="Calibri"/>
                <w:color w:val="000000"/>
                <w:sz w:val="18"/>
                <w:szCs w:val="20"/>
              </w:rPr>
              <w:t>18 წლამდე ბავშვთა ერთჯერადი სოციალური დახმარება</w:t>
            </w:r>
          </w:p>
        </w:tc>
        <w:tc>
          <w:tcPr>
            <w:tcW w:w="650"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187,8</w:t>
            </w:r>
          </w:p>
        </w:tc>
        <w:tc>
          <w:tcPr>
            <w:tcW w:w="1166"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 </w:t>
            </w:r>
          </w:p>
        </w:tc>
        <w:tc>
          <w:tcPr>
            <w:tcW w:w="701"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 </w:t>
            </w:r>
          </w:p>
        </w:tc>
      </w:tr>
      <w:tr w:rsidR="001225B5" w:rsidRPr="001225B5" w:rsidTr="00CF2486">
        <w:trPr>
          <w:trHeight w:val="113"/>
        </w:trPr>
        <w:tc>
          <w:tcPr>
            <w:tcW w:w="2483" w:type="pct"/>
            <w:shd w:val="clear" w:color="auto" w:fill="auto"/>
            <w:vAlign w:val="center"/>
            <w:hideMark/>
          </w:tcPr>
          <w:p w:rsidR="001225B5" w:rsidRPr="001225B5" w:rsidRDefault="001225B5" w:rsidP="001225B5">
            <w:pPr>
              <w:spacing w:after="0" w:line="240" w:lineRule="auto"/>
              <w:ind w:firstLineChars="300" w:firstLine="540"/>
              <w:rPr>
                <w:rFonts w:ascii="Sylfaen" w:eastAsia="Times New Roman" w:hAnsi="Sylfaen" w:cs="Calibri"/>
                <w:i/>
                <w:iCs/>
                <w:color w:val="000000"/>
                <w:sz w:val="18"/>
                <w:szCs w:val="20"/>
              </w:rPr>
            </w:pPr>
            <w:r w:rsidRPr="001225B5">
              <w:rPr>
                <w:rFonts w:ascii="Sylfaen" w:eastAsia="Times New Roman" w:hAnsi="Sylfaen" w:cs="Calibri"/>
                <w:i/>
                <w:iCs/>
                <w:color w:val="000000"/>
                <w:sz w:val="18"/>
                <w:szCs w:val="20"/>
              </w:rPr>
              <w:t xml:space="preserve"> მათ შორის, StopCoV ფონდიდან გამოყიფილ და გადახდილი</w:t>
            </w:r>
          </w:p>
        </w:tc>
        <w:tc>
          <w:tcPr>
            <w:tcW w:w="650"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122,8</w:t>
            </w:r>
          </w:p>
        </w:tc>
        <w:tc>
          <w:tcPr>
            <w:tcW w:w="1166"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 </w:t>
            </w:r>
          </w:p>
        </w:tc>
        <w:tc>
          <w:tcPr>
            <w:tcW w:w="701"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 </w:t>
            </w:r>
          </w:p>
        </w:tc>
      </w:tr>
      <w:tr w:rsidR="001225B5" w:rsidRPr="001225B5" w:rsidTr="00CF2486">
        <w:trPr>
          <w:trHeight w:val="113"/>
        </w:trPr>
        <w:tc>
          <w:tcPr>
            <w:tcW w:w="2483" w:type="pct"/>
            <w:shd w:val="clear" w:color="auto" w:fill="auto"/>
            <w:vAlign w:val="center"/>
            <w:hideMark/>
          </w:tcPr>
          <w:p w:rsidR="001225B5" w:rsidRPr="001225B5" w:rsidRDefault="001225B5" w:rsidP="001225B5">
            <w:pPr>
              <w:spacing w:after="0" w:line="240" w:lineRule="auto"/>
              <w:rPr>
                <w:rFonts w:ascii="Sylfaen" w:eastAsia="Times New Roman" w:hAnsi="Sylfaen" w:cs="Calibri"/>
                <w:color w:val="000000"/>
                <w:sz w:val="18"/>
                <w:szCs w:val="20"/>
              </w:rPr>
            </w:pPr>
            <w:r w:rsidRPr="001225B5">
              <w:rPr>
                <w:rFonts w:ascii="Sylfaen" w:eastAsia="Times New Roman" w:hAnsi="Sylfaen" w:cs="Calibri"/>
                <w:color w:val="000000"/>
                <w:sz w:val="18"/>
                <w:szCs w:val="20"/>
              </w:rPr>
              <w:t>ერთჯერადი სოციალური დახმარება უმაღლესი საგანმანათლებლო დაწესებულების სოციალურად დაუცველი სტუდენტების სწავლის საფასურის დაფინანსება</w:t>
            </w:r>
          </w:p>
        </w:tc>
        <w:tc>
          <w:tcPr>
            <w:tcW w:w="650"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14,8</w:t>
            </w:r>
          </w:p>
        </w:tc>
        <w:tc>
          <w:tcPr>
            <w:tcW w:w="1166"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 </w:t>
            </w:r>
          </w:p>
        </w:tc>
        <w:tc>
          <w:tcPr>
            <w:tcW w:w="701"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 </w:t>
            </w:r>
          </w:p>
        </w:tc>
      </w:tr>
      <w:tr w:rsidR="001225B5" w:rsidRPr="001225B5" w:rsidTr="00CF2486">
        <w:trPr>
          <w:trHeight w:val="113"/>
        </w:trPr>
        <w:tc>
          <w:tcPr>
            <w:tcW w:w="2483" w:type="pct"/>
            <w:shd w:val="clear" w:color="000000" w:fill="EDEDED"/>
            <w:vAlign w:val="center"/>
            <w:hideMark/>
          </w:tcPr>
          <w:p w:rsidR="001225B5" w:rsidRPr="001225B5" w:rsidRDefault="001225B5" w:rsidP="001225B5">
            <w:pPr>
              <w:spacing w:after="0" w:line="240" w:lineRule="auto"/>
              <w:jc w:val="center"/>
              <w:rPr>
                <w:rFonts w:ascii="Sylfaen" w:eastAsia="Times New Roman" w:hAnsi="Sylfaen" w:cs="Calibri"/>
                <w:b/>
                <w:bCs/>
                <w:color w:val="000000"/>
                <w:sz w:val="18"/>
                <w:szCs w:val="20"/>
              </w:rPr>
            </w:pPr>
            <w:r w:rsidRPr="001225B5">
              <w:rPr>
                <w:rFonts w:ascii="Sylfaen" w:eastAsia="Times New Roman" w:hAnsi="Sylfaen" w:cs="Calibri"/>
                <w:b/>
                <w:bCs/>
                <w:color w:val="000000"/>
                <w:sz w:val="18"/>
                <w:szCs w:val="20"/>
              </w:rPr>
              <w:t>ბიზნესის მხარდაჭერის მიმართულება</w:t>
            </w:r>
          </w:p>
        </w:tc>
        <w:tc>
          <w:tcPr>
            <w:tcW w:w="650" w:type="pct"/>
            <w:shd w:val="clear" w:color="000000" w:fill="EDEDED"/>
            <w:noWrap/>
            <w:vAlign w:val="center"/>
            <w:hideMark/>
          </w:tcPr>
          <w:p w:rsidR="001225B5" w:rsidRPr="001225B5" w:rsidRDefault="001225B5" w:rsidP="001225B5">
            <w:pPr>
              <w:spacing w:after="0" w:line="240" w:lineRule="auto"/>
              <w:jc w:val="center"/>
              <w:rPr>
                <w:rFonts w:ascii="Sylfaen" w:eastAsia="Times New Roman" w:hAnsi="Sylfaen" w:cs="Calibri"/>
                <w:b/>
                <w:bCs/>
                <w:color w:val="000000"/>
                <w:sz w:val="18"/>
                <w:szCs w:val="20"/>
              </w:rPr>
            </w:pPr>
            <w:r w:rsidRPr="001225B5">
              <w:rPr>
                <w:rFonts w:ascii="Sylfaen" w:eastAsia="Times New Roman" w:hAnsi="Sylfaen" w:cs="Calibri"/>
                <w:b/>
                <w:bCs/>
                <w:color w:val="000000"/>
                <w:sz w:val="18"/>
                <w:szCs w:val="20"/>
              </w:rPr>
              <w:t>588,3</w:t>
            </w:r>
          </w:p>
        </w:tc>
        <w:tc>
          <w:tcPr>
            <w:tcW w:w="1166" w:type="pct"/>
            <w:shd w:val="clear" w:color="000000" w:fill="EDEDED"/>
            <w:noWrap/>
            <w:vAlign w:val="center"/>
            <w:hideMark/>
          </w:tcPr>
          <w:p w:rsidR="001225B5" w:rsidRPr="001225B5" w:rsidRDefault="001225B5" w:rsidP="00CF2486">
            <w:pPr>
              <w:spacing w:after="0" w:line="240" w:lineRule="auto"/>
              <w:jc w:val="center"/>
              <w:rPr>
                <w:rFonts w:ascii="Sylfaen" w:eastAsia="Times New Roman" w:hAnsi="Sylfaen" w:cs="Calibri"/>
                <w:b/>
                <w:bCs/>
                <w:color w:val="000000"/>
                <w:sz w:val="18"/>
                <w:szCs w:val="20"/>
              </w:rPr>
            </w:pPr>
            <w:r w:rsidRPr="00CF2486">
              <w:rPr>
                <w:rFonts w:ascii="Sylfaen" w:eastAsia="Times New Roman" w:hAnsi="Sylfaen" w:cs="Calibri"/>
                <w:b/>
                <w:bCs/>
                <w:color w:val="000000"/>
                <w:sz w:val="18"/>
                <w:szCs w:val="20"/>
              </w:rPr>
              <w:t>49</w:t>
            </w:r>
            <w:r w:rsidR="00CF2486" w:rsidRPr="00CF2486">
              <w:rPr>
                <w:rFonts w:ascii="Sylfaen" w:eastAsia="Times New Roman" w:hAnsi="Sylfaen" w:cs="Calibri"/>
                <w:b/>
                <w:bCs/>
                <w:color w:val="000000"/>
                <w:sz w:val="18"/>
                <w:szCs w:val="20"/>
                <w:lang w:val="ka-GE"/>
              </w:rPr>
              <w:t>9</w:t>
            </w:r>
            <w:r w:rsidRPr="001225B5">
              <w:rPr>
                <w:rFonts w:ascii="Sylfaen" w:eastAsia="Times New Roman" w:hAnsi="Sylfaen" w:cs="Calibri"/>
                <w:b/>
                <w:bCs/>
                <w:color w:val="000000"/>
                <w:sz w:val="18"/>
                <w:szCs w:val="20"/>
              </w:rPr>
              <w:t>,4</w:t>
            </w:r>
          </w:p>
        </w:tc>
        <w:tc>
          <w:tcPr>
            <w:tcW w:w="701" w:type="pct"/>
            <w:shd w:val="clear" w:color="000000" w:fill="EDEDED"/>
            <w:noWrap/>
            <w:vAlign w:val="center"/>
            <w:hideMark/>
          </w:tcPr>
          <w:p w:rsidR="001225B5" w:rsidRPr="001225B5" w:rsidRDefault="001225B5" w:rsidP="001225B5">
            <w:pPr>
              <w:spacing w:after="0" w:line="240" w:lineRule="auto"/>
              <w:jc w:val="center"/>
              <w:rPr>
                <w:rFonts w:ascii="Sylfaen" w:eastAsia="Times New Roman" w:hAnsi="Sylfaen" w:cs="Calibri"/>
                <w:b/>
                <w:bCs/>
                <w:color w:val="000000"/>
                <w:sz w:val="18"/>
                <w:szCs w:val="20"/>
              </w:rPr>
            </w:pPr>
            <w:r w:rsidRPr="001225B5">
              <w:rPr>
                <w:rFonts w:ascii="Sylfaen" w:eastAsia="Times New Roman" w:hAnsi="Sylfaen" w:cs="Calibri"/>
                <w:b/>
                <w:bCs/>
                <w:color w:val="000000"/>
                <w:sz w:val="18"/>
                <w:szCs w:val="20"/>
              </w:rPr>
              <w:t>265,1</w:t>
            </w:r>
          </w:p>
        </w:tc>
      </w:tr>
      <w:tr w:rsidR="001225B5" w:rsidRPr="001225B5" w:rsidTr="00CF2486">
        <w:trPr>
          <w:trHeight w:val="113"/>
        </w:trPr>
        <w:tc>
          <w:tcPr>
            <w:tcW w:w="2483" w:type="pct"/>
            <w:shd w:val="clear" w:color="auto" w:fill="auto"/>
            <w:vAlign w:val="center"/>
            <w:hideMark/>
          </w:tcPr>
          <w:p w:rsidR="001225B5" w:rsidRPr="001225B5" w:rsidRDefault="001225B5" w:rsidP="001225B5">
            <w:pPr>
              <w:spacing w:after="0" w:line="240" w:lineRule="auto"/>
              <w:rPr>
                <w:rFonts w:ascii="Sylfaen" w:eastAsia="Times New Roman" w:hAnsi="Sylfaen" w:cs="Calibri"/>
                <w:color w:val="000000"/>
                <w:sz w:val="18"/>
                <w:szCs w:val="20"/>
              </w:rPr>
            </w:pPr>
            <w:r w:rsidRPr="001225B5">
              <w:rPr>
                <w:rFonts w:ascii="Sylfaen" w:eastAsia="Times New Roman" w:hAnsi="Sylfaen" w:cs="Calibri"/>
                <w:color w:val="000000"/>
                <w:sz w:val="18"/>
                <w:szCs w:val="20"/>
              </w:rPr>
              <w:t>სამშენებლო სექტორის ხელშეწყობა</w:t>
            </w:r>
          </w:p>
        </w:tc>
        <w:tc>
          <w:tcPr>
            <w:tcW w:w="650"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9,0</w:t>
            </w:r>
          </w:p>
        </w:tc>
        <w:tc>
          <w:tcPr>
            <w:tcW w:w="1166"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35,0</w:t>
            </w:r>
          </w:p>
        </w:tc>
        <w:tc>
          <w:tcPr>
            <w:tcW w:w="701"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2,9</w:t>
            </w:r>
          </w:p>
        </w:tc>
      </w:tr>
      <w:tr w:rsidR="001225B5" w:rsidRPr="001225B5" w:rsidTr="00CF2486">
        <w:trPr>
          <w:trHeight w:val="113"/>
        </w:trPr>
        <w:tc>
          <w:tcPr>
            <w:tcW w:w="2483" w:type="pct"/>
            <w:shd w:val="clear" w:color="auto" w:fill="auto"/>
            <w:vAlign w:val="center"/>
            <w:hideMark/>
          </w:tcPr>
          <w:p w:rsidR="001225B5" w:rsidRPr="001225B5" w:rsidRDefault="001225B5" w:rsidP="001225B5">
            <w:pPr>
              <w:spacing w:after="0" w:line="240" w:lineRule="auto"/>
              <w:rPr>
                <w:rFonts w:ascii="Sylfaen" w:eastAsia="Times New Roman" w:hAnsi="Sylfaen" w:cs="Calibri"/>
                <w:color w:val="000000"/>
                <w:sz w:val="18"/>
                <w:szCs w:val="20"/>
              </w:rPr>
            </w:pPr>
            <w:hyperlink r:id="rId8" w:anchor="Sheet1!_ftn1" w:history="1">
              <w:r w:rsidRPr="00CF2486">
                <w:rPr>
                  <w:rFonts w:ascii="Sylfaen" w:eastAsia="Times New Roman" w:hAnsi="Sylfaen" w:cs="Calibri"/>
                  <w:color w:val="000000"/>
                  <w:sz w:val="18"/>
                  <w:szCs w:val="20"/>
                </w:rPr>
                <w:t>მცირე, საშუალო და საოჯახო სასტუმრო/სარესტორნო ინდუსტრიის ხელშეწყობისათვის საჭირო ღონისძიებების განხორციელება</w:t>
              </w:r>
            </w:hyperlink>
          </w:p>
        </w:tc>
        <w:tc>
          <w:tcPr>
            <w:tcW w:w="650"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51,2</w:t>
            </w:r>
          </w:p>
        </w:tc>
        <w:tc>
          <w:tcPr>
            <w:tcW w:w="1166"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0,0</w:t>
            </w:r>
          </w:p>
        </w:tc>
        <w:tc>
          <w:tcPr>
            <w:tcW w:w="701"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0,0</w:t>
            </w:r>
          </w:p>
        </w:tc>
      </w:tr>
      <w:tr w:rsidR="001225B5" w:rsidRPr="001225B5" w:rsidTr="00CF2486">
        <w:trPr>
          <w:trHeight w:val="113"/>
        </w:trPr>
        <w:tc>
          <w:tcPr>
            <w:tcW w:w="2483" w:type="pct"/>
            <w:shd w:val="clear" w:color="auto" w:fill="auto"/>
            <w:vAlign w:val="center"/>
            <w:hideMark/>
          </w:tcPr>
          <w:p w:rsidR="001225B5" w:rsidRPr="001225B5" w:rsidRDefault="001225B5" w:rsidP="001225B5">
            <w:pPr>
              <w:spacing w:after="0" w:line="240" w:lineRule="auto"/>
              <w:rPr>
                <w:rFonts w:ascii="Sylfaen" w:eastAsia="Times New Roman" w:hAnsi="Sylfaen" w:cs="Calibri"/>
                <w:color w:val="000000"/>
                <w:sz w:val="18"/>
                <w:szCs w:val="20"/>
              </w:rPr>
            </w:pPr>
            <w:hyperlink r:id="rId9" w:anchor="Sheet1!_ftn2" w:history="1">
              <w:r w:rsidRPr="00CF2486">
                <w:rPr>
                  <w:rFonts w:ascii="Sylfaen" w:eastAsia="Times New Roman" w:hAnsi="Sylfaen" w:cs="Calibri"/>
                  <w:color w:val="000000"/>
                  <w:sz w:val="18"/>
                  <w:szCs w:val="20"/>
                </w:rPr>
                <w:t>საკრედიტო-საგარანტიო სქემა</w:t>
              </w:r>
            </w:hyperlink>
          </w:p>
        </w:tc>
        <w:tc>
          <w:tcPr>
            <w:tcW w:w="650"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47,0</w:t>
            </w:r>
          </w:p>
        </w:tc>
        <w:tc>
          <w:tcPr>
            <w:tcW w:w="1166"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50,0</w:t>
            </w:r>
          </w:p>
        </w:tc>
        <w:tc>
          <w:tcPr>
            <w:tcW w:w="701"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10,2</w:t>
            </w:r>
          </w:p>
        </w:tc>
      </w:tr>
      <w:tr w:rsidR="001225B5" w:rsidRPr="001225B5" w:rsidTr="00CF2486">
        <w:trPr>
          <w:trHeight w:val="113"/>
        </w:trPr>
        <w:tc>
          <w:tcPr>
            <w:tcW w:w="2483" w:type="pct"/>
            <w:shd w:val="clear" w:color="auto" w:fill="auto"/>
            <w:vAlign w:val="center"/>
            <w:hideMark/>
          </w:tcPr>
          <w:p w:rsidR="001225B5" w:rsidRPr="001225B5" w:rsidRDefault="001225B5" w:rsidP="001225B5">
            <w:pPr>
              <w:spacing w:after="0" w:line="240" w:lineRule="auto"/>
              <w:rPr>
                <w:rFonts w:ascii="Sylfaen" w:eastAsia="Times New Roman" w:hAnsi="Sylfaen" w:cs="Calibri"/>
                <w:color w:val="000000"/>
                <w:sz w:val="18"/>
                <w:szCs w:val="20"/>
              </w:rPr>
            </w:pPr>
            <w:r w:rsidRPr="001225B5">
              <w:rPr>
                <w:rFonts w:ascii="Sylfaen" w:eastAsia="Times New Roman" w:hAnsi="Sylfaen" w:cs="Calibri"/>
                <w:color w:val="000000"/>
                <w:sz w:val="18"/>
                <w:szCs w:val="20"/>
              </w:rPr>
              <w:t>პირველადი მოხმარების სასურსათო პროდუქტებზე ფასების შენარჩუნების სახელმწიფო პროგრამა</w:t>
            </w:r>
          </w:p>
        </w:tc>
        <w:tc>
          <w:tcPr>
            <w:tcW w:w="650"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6,2</w:t>
            </w:r>
          </w:p>
        </w:tc>
        <w:tc>
          <w:tcPr>
            <w:tcW w:w="1166"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16,0</w:t>
            </w:r>
          </w:p>
        </w:tc>
        <w:tc>
          <w:tcPr>
            <w:tcW w:w="701"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12,8</w:t>
            </w:r>
          </w:p>
        </w:tc>
      </w:tr>
      <w:tr w:rsidR="001225B5" w:rsidRPr="001225B5" w:rsidTr="00CF2486">
        <w:trPr>
          <w:trHeight w:val="113"/>
        </w:trPr>
        <w:tc>
          <w:tcPr>
            <w:tcW w:w="2483" w:type="pct"/>
            <w:shd w:val="clear" w:color="auto" w:fill="auto"/>
            <w:vAlign w:val="center"/>
            <w:hideMark/>
          </w:tcPr>
          <w:p w:rsidR="001225B5" w:rsidRPr="001225B5" w:rsidRDefault="001225B5" w:rsidP="001225B5">
            <w:pPr>
              <w:spacing w:after="0" w:line="240" w:lineRule="auto"/>
              <w:rPr>
                <w:rFonts w:ascii="Sylfaen" w:eastAsia="Times New Roman" w:hAnsi="Sylfaen" w:cs="Calibri"/>
                <w:color w:val="000000"/>
                <w:sz w:val="18"/>
                <w:szCs w:val="20"/>
              </w:rPr>
            </w:pPr>
            <w:r w:rsidRPr="001225B5">
              <w:rPr>
                <w:rFonts w:ascii="Sylfaen" w:eastAsia="Times New Roman" w:hAnsi="Sylfaen" w:cs="Calibri"/>
                <w:color w:val="000000"/>
                <w:sz w:val="18"/>
                <w:szCs w:val="20"/>
              </w:rPr>
              <w:t>სასოფლო-სამეურნეო დანიშნულების მიწის ნაკვეთების მესაკუთრეთა ხელშეწყობის სახელმწიფო პროგრამა</w:t>
            </w:r>
          </w:p>
        </w:tc>
        <w:tc>
          <w:tcPr>
            <w:tcW w:w="650"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29,2</w:t>
            </w:r>
          </w:p>
        </w:tc>
        <w:tc>
          <w:tcPr>
            <w:tcW w:w="1166"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2,1</w:t>
            </w:r>
          </w:p>
        </w:tc>
        <w:tc>
          <w:tcPr>
            <w:tcW w:w="701"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2,1</w:t>
            </w:r>
          </w:p>
        </w:tc>
      </w:tr>
      <w:tr w:rsidR="001225B5" w:rsidRPr="001225B5" w:rsidTr="00CF2486">
        <w:trPr>
          <w:trHeight w:val="113"/>
        </w:trPr>
        <w:tc>
          <w:tcPr>
            <w:tcW w:w="2483" w:type="pct"/>
            <w:shd w:val="clear" w:color="auto" w:fill="auto"/>
            <w:vAlign w:val="center"/>
            <w:hideMark/>
          </w:tcPr>
          <w:p w:rsidR="001225B5" w:rsidRPr="001225B5" w:rsidRDefault="001225B5" w:rsidP="001225B5">
            <w:pPr>
              <w:spacing w:after="0" w:line="240" w:lineRule="auto"/>
              <w:rPr>
                <w:rFonts w:ascii="Sylfaen" w:eastAsia="Times New Roman" w:hAnsi="Sylfaen" w:cs="Calibri"/>
                <w:color w:val="000000"/>
                <w:sz w:val="18"/>
                <w:szCs w:val="20"/>
              </w:rPr>
            </w:pPr>
            <w:r w:rsidRPr="001225B5">
              <w:rPr>
                <w:rFonts w:ascii="Sylfaen" w:eastAsia="Times New Roman" w:hAnsi="Sylfaen" w:cs="Calibri"/>
                <w:color w:val="000000"/>
                <w:sz w:val="18"/>
                <w:szCs w:val="20"/>
              </w:rPr>
              <w:t>2021 წლის განმავლობაში სურსათის მწარმოებლებისთვის ელექტრონერგიაზე ტარიფის ზრდის 50%-ის სუბსიდირება</w:t>
            </w:r>
          </w:p>
        </w:tc>
        <w:tc>
          <w:tcPr>
            <w:tcW w:w="650"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0,0</w:t>
            </w:r>
          </w:p>
        </w:tc>
        <w:tc>
          <w:tcPr>
            <w:tcW w:w="1166"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20,0</w:t>
            </w:r>
          </w:p>
        </w:tc>
        <w:tc>
          <w:tcPr>
            <w:tcW w:w="701"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3,7</w:t>
            </w:r>
          </w:p>
        </w:tc>
      </w:tr>
      <w:tr w:rsidR="001225B5" w:rsidRPr="001225B5" w:rsidTr="00CF2486">
        <w:trPr>
          <w:trHeight w:val="113"/>
        </w:trPr>
        <w:tc>
          <w:tcPr>
            <w:tcW w:w="2483" w:type="pct"/>
            <w:shd w:val="clear" w:color="auto" w:fill="auto"/>
            <w:vAlign w:val="center"/>
            <w:hideMark/>
          </w:tcPr>
          <w:p w:rsidR="001225B5" w:rsidRPr="001225B5" w:rsidRDefault="001225B5" w:rsidP="001225B5">
            <w:pPr>
              <w:spacing w:after="0" w:line="240" w:lineRule="auto"/>
              <w:rPr>
                <w:rFonts w:ascii="Sylfaen" w:eastAsia="Times New Roman" w:hAnsi="Sylfaen" w:cs="Calibri"/>
                <w:color w:val="000000"/>
                <w:sz w:val="18"/>
                <w:szCs w:val="20"/>
              </w:rPr>
            </w:pPr>
            <w:r w:rsidRPr="001225B5">
              <w:rPr>
                <w:rFonts w:ascii="Sylfaen" w:eastAsia="Times New Roman" w:hAnsi="Sylfaen" w:cs="Calibri"/>
                <w:color w:val="000000"/>
                <w:sz w:val="18"/>
                <w:szCs w:val="20"/>
              </w:rPr>
              <w:t>სოფლის მეურნეობის მხარდაჭერის სხვა ღონიძიებები</w:t>
            </w:r>
          </w:p>
        </w:tc>
        <w:tc>
          <w:tcPr>
            <w:tcW w:w="650"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127,0</w:t>
            </w:r>
          </w:p>
        </w:tc>
        <w:tc>
          <w:tcPr>
            <w:tcW w:w="1166"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136,3</w:t>
            </w:r>
          </w:p>
        </w:tc>
        <w:tc>
          <w:tcPr>
            <w:tcW w:w="701"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0,0</w:t>
            </w:r>
          </w:p>
        </w:tc>
      </w:tr>
      <w:tr w:rsidR="001225B5" w:rsidRPr="001225B5" w:rsidTr="00CF2486">
        <w:trPr>
          <w:trHeight w:val="113"/>
        </w:trPr>
        <w:tc>
          <w:tcPr>
            <w:tcW w:w="2483" w:type="pct"/>
            <w:shd w:val="clear" w:color="auto" w:fill="auto"/>
            <w:vAlign w:val="center"/>
            <w:hideMark/>
          </w:tcPr>
          <w:p w:rsidR="001225B5" w:rsidRPr="001225B5" w:rsidRDefault="001225B5" w:rsidP="001225B5">
            <w:pPr>
              <w:spacing w:after="0" w:line="240" w:lineRule="auto"/>
              <w:rPr>
                <w:rFonts w:ascii="Sylfaen" w:eastAsia="Times New Roman" w:hAnsi="Sylfaen" w:cs="Calibri"/>
                <w:i/>
                <w:iCs/>
                <w:color w:val="000000"/>
                <w:sz w:val="18"/>
                <w:szCs w:val="20"/>
              </w:rPr>
            </w:pPr>
            <w:r w:rsidRPr="001225B5">
              <w:rPr>
                <w:rFonts w:ascii="Sylfaen" w:eastAsia="Times New Roman" w:hAnsi="Sylfaen" w:cs="Calibri"/>
                <w:i/>
                <w:iCs/>
                <w:color w:val="000000"/>
                <w:sz w:val="18"/>
                <w:szCs w:val="20"/>
              </w:rPr>
              <w:t xml:space="preserve">        მათ შორის, რთველის ხელშეწყობა</w:t>
            </w:r>
          </w:p>
        </w:tc>
        <w:tc>
          <w:tcPr>
            <w:tcW w:w="650"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104,3</w:t>
            </w:r>
          </w:p>
        </w:tc>
        <w:tc>
          <w:tcPr>
            <w:tcW w:w="1166"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135,0</w:t>
            </w:r>
          </w:p>
        </w:tc>
        <w:tc>
          <w:tcPr>
            <w:tcW w:w="701"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 </w:t>
            </w:r>
          </w:p>
        </w:tc>
      </w:tr>
      <w:tr w:rsidR="001225B5" w:rsidRPr="001225B5" w:rsidTr="00CF2486">
        <w:trPr>
          <w:trHeight w:val="113"/>
        </w:trPr>
        <w:tc>
          <w:tcPr>
            <w:tcW w:w="2483" w:type="pct"/>
            <w:shd w:val="clear" w:color="auto" w:fill="auto"/>
            <w:vAlign w:val="center"/>
            <w:hideMark/>
          </w:tcPr>
          <w:p w:rsidR="001225B5" w:rsidRPr="001225B5" w:rsidRDefault="001225B5" w:rsidP="001225B5">
            <w:pPr>
              <w:spacing w:after="0" w:line="240" w:lineRule="auto"/>
              <w:rPr>
                <w:rFonts w:ascii="Sylfaen" w:eastAsia="Times New Roman" w:hAnsi="Sylfaen" w:cs="Calibri"/>
                <w:color w:val="000000"/>
                <w:sz w:val="18"/>
                <w:szCs w:val="20"/>
              </w:rPr>
            </w:pPr>
            <w:r w:rsidRPr="001225B5">
              <w:rPr>
                <w:rFonts w:ascii="Sylfaen" w:eastAsia="Times New Roman" w:hAnsi="Sylfaen" w:cs="Calibri"/>
                <w:color w:val="000000"/>
                <w:sz w:val="18"/>
                <w:szCs w:val="20"/>
              </w:rPr>
              <w:t>მიკრო და მცირე მეწარმეობის ხელშეწყობა - მცირე გრანტები</w:t>
            </w:r>
          </w:p>
        </w:tc>
        <w:tc>
          <w:tcPr>
            <w:tcW w:w="650"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2,5</w:t>
            </w:r>
          </w:p>
        </w:tc>
        <w:tc>
          <w:tcPr>
            <w:tcW w:w="1166"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15,0</w:t>
            </w:r>
          </w:p>
        </w:tc>
        <w:tc>
          <w:tcPr>
            <w:tcW w:w="701"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10,6</w:t>
            </w:r>
          </w:p>
        </w:tc>
      </w:tr>
      <w:tr w:rsidR="001225B5" w:rsidRPr="001225B5" w:rsidTr="00CF2486">
        <w:trPr>
          <w:trHeight w:val="113"/>
        </w:trPr>
        <w:tc>
          <w:tcPr>
            <w:tcW w:w="2483" w:type="pct"/>
            <w:shd w:val="clear" w:color="auto" w:fill="auto"/>
            <w:vAlign w:val="center"/>
            <w:hideMark/>
          </w:tcPr>
          <w:p w:rsidR="001225B5" w:rsidRPr="001225B5" w:rsidRDefault="001225B5" w:rsidP="001225B5">
            <w:pPr>
              <w:spacing w:after="0" w:line="240" w:lineRule="auto"/>
              <w:rPr>
                <w:rFonts w:ascii="Sylfaen" w:eastAsia="Times New Roman" w:hAnsi="Sylfaen" w:cs="Calibri"/>
                <w:color w:val="000000"/>
                <w:sz w:val="18"/>
                <w:szCs w:val="20"/>
              </w:rPr>
            </w:pPr>
            <w:r w:rsidRPr="001225B5">
              <w:rPr>
                <w:rFonts w:ascii="Sylfaen" w:eastAsia="Times New Roman" w:hAnsi="Sylfaen" w:cs="Calibri"/>
                <w:color w:val="000000"/>
                <w:sz w:val="18"/>
                <w:szCs w:val="20"/>
              </w:rPr>
              <w:t>საშემოსავლო გადასახადის შეღავათი</w:t>
            </w:r>
          </w:p>
        </w:tc>
        <w:tc>
          <w:tcPr>
            <w:tcW w:w="650"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316,2</w:t>
            </w:r>
          </w:p>
        </w:tc>
        <w:tc>
          <w:tcPr>
            <w:tcW w:w="1166"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22</w:t>
            </w:r>
            <w:r w:rsidR="00CF2486" w:rsidRPr="00CF2486">
              <w:rPr>
                <w:rFonts w:ascii="Sylfaen" w:eastAsia="Times New Roman" w:hAnsi="Sylfaen" w:cs="Calibri"/>
                <w:color w:val="000000"/>
                <w:sz w:val="18"/>
                <w:szCs w:val="20"/>
                <w:lang w:val="ka-GE"/>
              </w:rPr>
              <w:t>5</w:t>
            </w:r>
            <w:r w:rsidRPr="001225B5">
              <w:rPr>
                <w:rFonts w:ascii="Sylfaen" w:eastAsia="Times New Roman" w:hAnsi="Sylfaen" w:cs="Calibri"/>
                <w:color w:val="000000"/>
                <w:sz w:val="18"/>
                <w:szCs w:val="20"/>
              </w:rPr>
              <w:t>,0</w:t>
            </w:r>
          </w:p>
        </w:tc>
        <w:tc>
          <w:tcPr>
            <w:tcW w:w="701"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222,8</w:t>
            </w:r>
          </w:p>
        </w:tc>
      </w:tr>
      <w:tr w:rsidR="001225B5" w:rsidRPr="001225B5" w:rsidTr="00CF2486">
        <w:trPr>
          <w:trHeight w:val="113"/>
        </w:trPr>
        <w:tc>
          <w:tcPr>
            <w:tcW w:w="2483" w:type="pct"/>
            <w:shd w:val="clear" w:color="000000" w:fill="DDEBF7"/>
            <w:vAlign w:val="center"/>
            <w:hideMark/>
          </w:tcPr>
          <w:p w:rsidR="001225B5" w:rsidRPr="001225B5" w:rsidRDefault="001225B5" w:rsidP="001225B5">
            <w:pPr>
              <w:spacing w:after="0" w:line="240" w:lineRule="auto"/>
              <w:jc w:val="center"/>
              <w:rPr>
                <w:rFonts w:ascii="Sylfaen" w:eastAsia="Times New Roman" w:hAnsi="Sylfaen" w:cs="Calibri"/>
                <w:b/>
                <w:bCs/>
                <w:color w:val="000000"/>
                <w:sz w:val="18"/>
                <w:szCs w:val="20"/>
              </w:rPr>
            </w:pPr>
            <w:r w:rsidRPr="001225B5">
              <w:rPr>
                <w:rFonts w:ascii="Sylfaen" w:eastAsia="Times New Roman" w:hAnsi="Sylfaen" w:cs="Calibri"/>
                <w:b/>
                <w:bCs/>
                <w:color w:val="000000"/>
                <w:sz w:val="18"/>
                <w:szCs w:val="20"/>
              </w:rPr>
              <w:t>სულ ანტიკრიზისული გეგმით გათვალისწინებული ღონისძიებებზე მიმართული ასიგნებები</w:t>
            </w:r>
          </w:p>
        </w:tc>
        <w:tc>
          <w:tcPr>
            <w:tcW w:w="650" w:type="pct"/>
            <w:shd w:val="clear" w:color="000000" w:fill="DDEBF7"/>
            <w:noWrap/>
            <w:vAlign w:val="center"/>
            <w:hideMark/>
          </w:tcPr>
          <w:p w:rsidR="001225B5" w:rsidRPr="001225B5" w:rsidRDefault="001225B5" w:rsidP="001225B5">
            <w:pPr>
              <w:spacing w:after="0" w:line="240" w:lineRule="auto"/>
              <w:jc w:val="center"/>
              <w:rPr>
                <w:rFonts w:ascii="Sylfaen" w:eastAsia="Times New Roman" w:hAnsi="Sylfaen" w:cs="Calibri"/>
                <w:b/>
                <w:bCs/>
                <w:color w:val="000000"/>
                <w:sz w:val="18"/>
                <w:szCs w:val="20"/>
              </w:rPr>
            </w:pPr>
            <w:r w:rsidRPr="001225B5">
              <w:rPr>
                <w:rFonts w:ascii="Sylfaen" w:eastAsia="Times New Roman" w:hAnsi="Sylfaen" w:cs="Calibri"/>
                <w:b/>
                <w:bCs/>
                <w:color w:val="000000"/>
                <w:sz w:val="18"/>
                <w:szCs w:val="20"/>
              </w:rPr>
              <w:t>1 924,1</w:t>
            </w:r>
          </w:p>
        </w:tc>
        <w:tc>
          <w:tcPr>
            <w:tcW w:w="1166" w:type="pct"/>
            <w:shd w:val="clear" w:color="000000" w:fill="DDEBF7"/>
            <w:noWrap/>
            <w:vAlign w:val="center"/>
            <w:hideMark/>
          </w:tcPr>
          <w:p w:rsidR="001225B5" w:rsidRPr="001225B5" w:rsidRDefault="001225B5" w:rsidP="00CF2486">
            <w:pPr>
              <w:spacing w:after="0" w:line="240" w:lineRule="auto"/>
              <w:jc w:val="center"/>
              <w:rPr>
                <w:rFonts w:ascii="Sylfaen" w:eastAsia="Times New Roman" w:hAnsi="Sylfaen" w:cs="Calibri"/>
                <w:b/>
                <w:bCs/>
                <w:color w:val="000000"/>
                <w:sz w:val="18"/>
                <w:szCs w:val="20"/>
              </w:rPr>
            </w:pPr>
            <w:r w:rsidRPr="00CF2486">
              <w:rPr>
                <w:rFonts w:ascii="Sylfaen" w:eastAsia="Times New Roman" w:hAnsi="Sylfaen" w:cs="Calibri"/>
                <w:b/>
                <w:bCs/>
                <w:color w:val="000000"/>
                <w:sz w:val="18"/>
                <w:szCs w:val="20"/>
              </w:rPr>
              <w:t>1 74</w:t>
            </w:r>
            <w:r w:rsidR="00CF2486" w:rsidRPr="00CF2486">
              <w:rPr>
                <w:rFonts w:ascii="Sylfaen" w:eastAsia="Times New Roman" w:hAnsi="Sylfaen" w:cs="Calibri"/>
                <w:b/>
                <w:bCs/>
                <w:color w:val="000000"/>
                <w:sz w:val="18"/>
                <w:szCs w:val="20"/>
                <w:lang w:val="ka-GE"/>
              </w:rPr>
              <w:t>9</w:t>
            </w:r>
            <w:r w:rsidRPr="001225B5">
              <w:rPr>
                <w:rFonts w:ascii="Sylfaen" w:eastAsia="Times New Roman" w:hAnsi="Sylfaen" w:cs="Calibri"/>
                <w:b/>
                <w:bCs/>
                <w:color w:val="000000"/>
                <w:sz w:val="18"/>
                <w:szCs w:val="20"/>
              </w:rPr>
              <w:t>,5</w:t>
            </w:r>
          </w:p>
        </w:tc>
        <w:tc>
          <w:tcPr>
            <w:tcW w:w="701" w:type="pct"/>
            <w:shd w:val="clear" w:color="000000" w:fill="DDEBF7"/>
            <w:noWrap/>
            <w:vAlign w:val="center"/>
            <w:hideMark/>
          </w:tcPr>
          <w:p w:rsidR="001225B5" w:rsidRPr="001225B5" w:rsidRDefault="001225B5" w:rsidP="001225B5">
            <w:pPr>
              <w:spacing w:after="0" w:line="240" w:lineRule="auto"/>
              <w:jc w:val="center"/>
              <w:rPr>
                <w:rFonts w:ascii="Sylfaen" w:eastAsia="Times New Roman" w:hAnsi="Sylfaen" w:cs="Calibri"/>
                <w:b/>
                <w:bCs/>
                <w:color w:val="000000"/>
                <w:sz w:val="18"/>
                <w:szCs w:val="20"/>
              </w:rPr>
            </w:pPr>
            <w:r w:rsidRPr="001225B5">
              <w:rPr>
                <w:rFonts w:ascii="Sylfaen" w:eastAsia="Times New Roman" w:hAnsi="Sylfaen" w:cs="Calibri"/>
                <w:b/>
                <w:bCs/>
                <w:color w:val="000000"/>
                <w:sz w:val="18"/>
                <w:szCs w:val="20"/>
              </w:rPr>
              <w:t>1 065,0</w:t>
            </w:r>
          </w:p>
        </w:tc>
      </w:tr>
      <w:tr w:rsidR="001225B5" w:rsidRPr="001225B5" w:rsidTr="00CF2486">
        <w:trPr>
          <w:trHeight w:val="113"/>
        </w:trPr>
        <w:tc>
          <w:tcPr>
            <w:tcW w:w="2483" w:type="pct"/>
            <w:shd w:val="clear" w:color="000000" w:fill="EDEDED"/>
            <w:vAlign w:val="center"/>
            <w:hideMark/>
          </w:tcPr>
          <w:p w:rsidR="001225B5" w:rsidRPr="001225B5" w:rsidRDefault="001225B5" w:rsidP="001225B5">
            <w:pPr>
              <w:spacing w:after="0" w:line="240" w:lineRule="auto"/>
              <w:jc w:val="center"/>
              <w:rPr>
                <w:rFonts w:ascii="Sylfaen" w:eastAsia="Times New Roman" w:hAnsi="Sylfaen" w:cs="Calibri"/>
                <w:b/>
                <w:bCs/>
                <w:color w:val="000000"/>
                <w:sz w:val="18"/>
                <w:szCs w:val="20"/>
              </w:rPr>
            </w:pPr>
            <w:r w:rsidRPr="001225B5">
              <w:rPr>
                <w:rFonts w:ascii="Sylfaen" w:eastAsia="Times New Roman" w:hAnsi="Sylfaen" w:cs="Calibri"/>
                <w:b/>
                <w:bCs/>
                <w:color w:val="000000"/>
                <w:sz w:val="18"/>
                <w:szCs w:val="20"/>
              </w:rPr>
              <w:t>ეკონომიკის ხელშემწყობი სხვა დამატებითი პაკეტები</w:t>
            </w:r>
          </w:p>
        </w:tc>
        <w:tc>
          <w:tcPr>
            <w:tcW w:w="650" w:type="pct"/>
            <w:shd w:val="clear" w:color="000000" w:fill="EDEDED"/>
            <w:noWrap/>
            <w:vAlign w:val="center"/>
            <w:hideMark/>
          </w:tcPr>
          <w:p w:rsidR="001225B5" w:rsidRPr="001225B5" w:rsidRDefault="001225B5" w:rsidP="001225B5">
            <w:pPr>
              <w:spacing w:after="0" w:line="240" w:lineRule="auto"/>
              <w:jc w:val="center"/>
              <w:rPr>
                <w:rFonts w:ascii="Sylfaen" w:eastAsia="Times New Roman" w:hAnsi="Sylfaen" w:cs="Calibri"/>
                <w:b/>
                <w:bCs/>
                <w:color w:val="000000"/>
                <w:sz w:val="18"/>
                <w:szCs w:val="20"/>
              </w:rPr>
            </w:pPr>
            <w:r w:rsidRPr="001225B5">
              <w:rPr>
                <w:rFonts w:ascii="Sylfaen" w:eastAsia="Times New Roman" w:hAnsi="Sylfaen" w:cs="Calibri"/>
                <w:b/>
                <w:bCs/>
                <w:color w:val="000000"/>
                <w:sz w:val="18"/>
                <w:szCs w:val="20"/>
              </w:rPr>
              <w:t>1 634,0</w:t>
            </w:r>
          </w:p>
        </w:tc>
        <w:tc>
          <w:tcPr>
            <w:tcW w:w="1166" w:type="pct"/>
            <w:shd w:val="clear" w:color="000000" w:fill="EDEDED"/>
            <w:noWrap/>
            <w:vAlign w:val="center"/>
            <w:hideMark/>
          </w:tcPr>
          <w:p w:rsidR="001225B5" w:rsidRPr="001225B5" w:rsidRDefault="001225B5" w:rsidP="001225B5">
            <w:pPr>
              <w:spacing w:after="0" w:line="240" w:lineRule="auto"/>
              <w:jc w:val="center"/>
              <w:rPr>
                <w:rFonts w:ascii="Sylfaen" w:eastAsia="Times New Roman" w:hAnsi="Sylfaen" w:cs="Calibri"/>
                <w:b/>
                <w:bCs/>
                <w:color w:val="000000"/>
                <w:sz w:val="18"/>
                <w:szCs w:val="20"/>
              </w:rPr>
            </w:pPr>
            <w:r w:rsidRPr="001225B5">
              <w:rPr>
                <w:rFonts w:ascii="Sylfaen" w:eastAsia="Times New Roman" w:hAnsi="Sylfaen" w:cs="Calibri"/>
                <w:b/>
                <w:bCs/>
                <w:color w:val="000000"/>
                <w:sz w:val="18"/>
                <w:szCs w:val="20"/>
              </w:rPr>
              <w:t>1 700,0</w:t>
            </w:r>
          </w:p>
        </w:tc>
        <w:tc>
          <w:tcPr>
            <w:tcW w:w="701" w:type="pct"/>
            <w:shd w:val="clear" w:color="000000" w:fill="EDEDED"/>
            <w:noWrap/>
            <w:vAlign w:val="center"/>
            <w:hideMark/>
          </w:tcPr>
          <w:p w:rsidR="001225B5" w:rsidRPr="001225B5" w:rsidRDefault="001225B5" w:rsidP="001225B5">
            <w:pPr>
              <w:spacing w:after="0" w:line="240" w:lineRule="auto"/>
              <w:jc w:val="center"/>
              <w:rPr>
                <w:rFonts w:ascii="Sylfaen" w:eastAsia="Times New Roman" w:hAnsi="Sylfaen" w:cs="Calibri"/>
                <w:b/>
                <w:bCs/>
                <w:color w:val="000000"/>
                <w:sz w:val="18"/>
                <w:szCs w:val="20"/>
              </w:rPr>
            </w:pPr>
            <w:r w:rsidRPr="001225B5">
              <w:rPr>
                <w:rFonts w:ascii="Sylfaen" w:eastAsia="Times New Roman" w:hAnsi="Sylfaen" w:cs="Calibri"/>
                <w:b/>
                <w:bCs/>
                <w:color w:val="000000"/>
                <w:sz w:val="18"/>
                <w:szCs w:val="20"/>
              </w:rPr>
              <w:t>920,9</w:t>
            </w:r>
          </w:p>
        </w:tc>
      </w:tr>
      <w:tr w:rsidR="001225B5" w:rsidRPr="001225B5" w:rsidTr="00CF2486">
        <w:trPr>
          <w:trHeight w:val="113"/>
        </w:trPr>
        <w:tc>
          <w:tcPr>
            <w:tcW w:w="2483" w:type="pct"/>
            <w:shd w:val="clear" w:color="auto" w:fill="auto"/>
            <w:vAlign w:val="center"/>
            <w:hideMark/>
          </w:tcPr>
          <w:p w:rsidR="001225B5" w:rsidRPr="001225B5" w:rsidRDefault="001225B5" w:rsidP="001225B5">
            <w:pPr>
              <w:spacing w:after="0" w:line="240" w:lineRule="auto"/>
              <w:rPr>
                <w:rFonts w:ascii="Sylfaen" w:eastAsia="Times New Roman" w:hAnsi="Sylfaen" w:cs="Calibri"/>
                <w:color w:val="000000"/>
                <w:sz w:val="18"/>
                <w:szCs w:val="20"/>
              </w:rPr>
            </w:pPr>
            <w:r w:rsidRPr="001225B5">
              <w:rPr>
                <w:rFonts w:ascii="Sylfaen" w:eastAsia="Times New Roman" w:hAnsi="Sylfaen" w:cs="Calibri"/>
                <w:color w:val="000000"/>
                <w:sz w:val="18"/>
                <w:szCs w:val="20"/>
              </w:rPr>
              <w:t xml:space="preserve">კომერციული ბანკების ლიკვიდურობის ზრდა </w:t>
            </w:r>
          </w:p>
        </w:tc>
        <w:tc>
          <w:tcPr>
            <w:tcW w:w="650"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594,0</w:t>
            </w:r>
          </w:p>
        </w:tc>
        <w:tc>
          <w:tcPr>
            <w:tcW w:w="1166" w:type="pct"/>
            <w:shd w:val="clear" w:color="auto" w:fill="auto"/>
            <w:noWrap/>
            <w:vAlign w:val="center"/>
          </w:tcPr>
          <w:p w:rsidR="001225B5" w:rsidRPr="001225B5" w:rsidRDefault="001225B5" w:rsidP="001225B5">
            <w:pPr>
              <w:spacing w:after="0" w:line="240" w:lineRule="auto"/>
              <w:jc w:val="center"/>
              <w:rPr>
                <w:rFonts w:ascii="Sylfaen" w:eastAsia="Times New Roman" w:hAnsi="Sylfaen" w:cs="Calibri"/>
                <w:color w:val="000000"/>
                <w:sz w:val="18"/>
                <w:szCs w:val="20"/>
              </w:rPr>
            </w:pPr>
          </w:p>
        </w:tc>
        <w:tc>
          <w:tcPr>
            <w:tcW w:w="701" w:type="pct"/>
            <w:shd w:val="clear" w:color="auto" w:fill="auto"/>
            <w:noWrap/>
            <w:vAlign w:val="center"/>
          </w:tcPr>
          <w:p w:rsidR="001225B5" w:rsidRPr="001225B5" w:rsidRDefault="001225B5" w:rsidP="001225B5">
            <w:pPr>
              <w:spacing w:after="0" w:line="240" w:lineRule="auto"/>
              <w:jc w:val="center"/>
              <w:rPr>
                <w:rFonts w:ascii="Sylfaen" w:eastAsia="Times New Roman" w:hAnsi="Sylfaen" w:cs="Calibri"/>
                <w:color w:val="000000"/>
                <w:sz w:val="18"/>
                <w:szCs w:val="20"/>
              </w:rPr>
            </w:pPr>
          </w:p>
        </w:tc>
      </w:tr>
      <w:tr w:rsidR="001225B5" w:rsidRPr="001225B5" w:rsidTr="00CF2486">
        <w:trPr>
          <w:trHeight w:val="113"/>
        </w:trPr>
        <w:tc>
          <w:tcPr>
            <w:tcW w:w="2483" w:type="pct"/>
            <w:shd w:val="clear" w:color="auto" w:fill="auto"/>
            <w:vAlign w:val="center"/>
            <w:hideMark/>
          </w:tcPr>
          <w:p w:rsidR="001225B5" w:rsidRPr="001225B5" w:rsidRDefault="001225B5" w:rsidP="001225B5">
            <w:pPr>
              <w:spacing w:after="0" w:line="240" w:lineRule="auto"/>
              <w:rPr>
                <w:rFonts w:ascii="Sylfaen" w:eastAsia="Times New Roman" w:hAnsi="Sylfaen" w:cs="Calibri"/>
                <w:color w:val="000000"/>
                <w:sz w:val="18"/>
                <w:szCs w:val="20"/>
              </w:rPr>
            </w:pPr>
            <w:r w:rsidRPr="001225B5">
              <w:rPr>
                <w:rFonts w:ascii="Sylfaen" w:eastAsia="Times New Roman" w:hAnsi="Sylfaen" w:cs="Calibri"/>
                <w:color w:val="000000"/>
                <w:sz w:val="18"/>
                <w:szCs w:val="20"/>
              </w:rPr>
              <w:t>საგადასახადო ზედმეტობის (დღგ-ის) დაბრუნება</w:t>
            </w:r>
          </w:p>
        </w:tc>
        <w:tc>
          <w:tcPr>
            <w:tcW w:w="650"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1 040,0</w:t>
            </w:r>
          </w:p>
        </w:tc>
        <w:tc>
          <w:tcPr>
            <w:tcW w:w="1166"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1 700,0</w:t>
            </w:r>
          </w:p>
        </w:tc>
        <w:tc>
          <w:tcPr>
            <w:tcW w:w="701" w:type="pct"/>
            <w:shd w:val="clear" w:color="auto" w:fill="auto"/>
            <w:noWrap/>
            <w:vAlign w:val="center"/>
            <w:hideMark/>
          </w:tcPr>
          <w:p w:rsidR="001225B5" w:rsidRPr="001225B5" w:rsidRDefault="001225B5" w:rsidP="001225B5">
            <w:pPr>
              <w:spacing w:after="0" w:line="240" w:lineRule="auto"/>
              <w:jc w:val="center"/>
              <w:rPr>
                <w:rFonts w:ascii="Sylfaen" w:eastAsia="Times New Roman" w:hAnsi="Sylfaen" w:cs="Calibri"/>
                <w:color w:val="000000"/>
                <w:sz w:val="18"/>
                <w:szCs w:val="20"/>
              </w:rPr>
            </w:pPr>
            <w:r w:rsidRPr="001225B5">
              <w:rPr>
                <w:rFonts w:ascii="Sylfaen" w:eastAsia="Times New Roman" w:hAnsi="Sylfaen" w:cs="Calibri"/>
                <w:color w:val="000000"/>
                <w:sz w:val="18"/>
                <w:szCs w:val="20"/>
              </w:rPr>
              <w:t>920,9</w:t>
            </w:r>
          </w:p>
        </w:tc>
      </w:tr>
      <w:tr w:rsidR="001225B5" w:rsidRPr="001225B5" w:rsidTr="00CF2486">
        <w:trPr>
          <w:trHeight w:val="113"/>
        </w:trPr>
        <w:tc>
          <w:tcPr>
            <w:tcW w:w="2483" w:type="pct"/>
            <w:shd w:val="clear" w:color="000000" w:fill="DDEBF7"/>
            <w:vAlign w:val="center"/>
            <w:hideMark/>
          </w:tcPr>
          <w:p w:rsidR="001225B5" w:rsidRPr="001225B5" w:rsidRDefault="001225B5" w:rsidP="001225B5">
            <w:pPr>
              <w:spacing w:after="0" w:line="240" w:lineRule="auto"/>
              <w:jc w:val="center"/>
              <w:rPr>
                <w:rFonts w:ascii="Sylfaen" w:eastAsia="Times New Roman" w:hAnsi="Sylfaen" w:cs="Calibri"/>
                <w:b/>
                <w:bCs/>
                <w:color w:val="000000"/>
                <w:sz w:val="18"/>
                <w:szCs w:val="20"/>
              </w:rPr>
            </w:pPr>
            <w:r w:rsidRPr="001225B5">
              <w:rPr>
                <w:rFonts w:ascii="Sylfaen" w:eastAsia="Times New Roman" w:hAnsi="Sylfaen" w:cs="Calibri"/>
                <w:b/>
                <w:bCs/>
                <w:color w:val="000000"/>
                <w:sz w:val="18"/>
                <w:szCs w:val="20"/>
              </w:rPr>
              <w:t>სულ ჯამი</w:t>
            </w:r>
          </w:p>
        </w:tc>
        <w:tc>
          <w:tcPr>
            <w:tcW w:w="650" w:type="pct"/>
            <w:shd w:val="clear" w:color="000000" w:fill="DDEBF7"/>
            <w:noWrap/>
            <w:vAlign w:val="center"/>
            <w:hideMark/>
          </w:tcPr>
          <w:p w:rsidR="001225B5" w:rsidRPr="001225B5" w:rsidRDefault="001225B5" w:rsidP="001225B5">
            <w:pPr>
              <w:spacing w:after="0" w:line="240" w:lineRule="auto"/>
              <w:jc w:val="center"/>
              <w:rPr>
                <w:rFonts w:ascii="Sylfaen" w:eastAsia="Times New Roman" w:hAnsi="Sylfaen" w:cs="Calibri"/>
                <w:b/>
                <w:bCs/>
                <w:color w:val="000000"/>
                <w:sz w:val="18"/>
                <w:szCs w:val="20"/>
              </w:rPr>
            </w:pPr>
            <w:r w:rsidRPr="001225B5">
              <w:rPr>
                <w:rFonts w:ascii="Sylfaen" w:eastAsia="Times New Roman" w:hAnsi="Sylfaen" w:cs="Calibri"/>
                <w:b/>
                <w:bCs/>
                <w:color w:val="000000"/>
                <w:sz w:val="18"/>
                <w:szCs w:val="20"/>
              </w:rPr>
              <w:t>3 558,1</w:t>
            </w:r>
          </w:p>
        </w:tc>
        <w:tc>
          <w:tcPr>
            <w:tcW w:w="1166" w:type="pct"/>
            <w:shd w:val="clear" w:color="000000" w:fill="DDEBF7"/>
            <w:noWrap/>
            <w:vAlign w:val="center"/>
            <w:hideMark/>
          </w:tcPr>
          <w:p w:rsidR="001225B5" w:rsidRPr="001225B5" w:rsidRDefault="001225B5" w:rsidP="00CF2486">
            <w:pPr>
              <w:spacing w:after="0" w:line="240" w:lineRule="auto"/>
              <w:jc w:val="center"/>
              <w:rPr>
                <w:rFonts w:ascii="Sylfaen" w:eastAsia="Times New Roman" w:hAnsi="Sylfaen" w:cs="Calibri"/>
                <w:b/>
                <w:bCs/>
                <w:color w:val="000000"/>
                <w:sz w:val="18"/>
                <w:szCs w:val="20"/>
              </w:rPr>
            </w:pPr>
            <w:r w:rsidRPr="00CF2486">
              <w:rPr>
                <w:rFonts w:ascii="Sylfaen" w:eastAsia="Times New Roman" w:hAnsi="Sylfaen" w:cs="Calibri"/>
                <w:b/>
                <w:bCs/>
                <w:color w:val="000000"/>
                <w:sz w:val="18"/>
                <w:szCs w:val="20"/>
              </w:rPr>
              <w:t>3 44</w:t>
            </w:r>
            <w:r w:rsidR="00CF2486" w:rsidRPr="00CF2486">
              <w:rPr>
                <w:rFonts w:ascii="Sylfaen" w:eastAsia="Times New Roman" w:hAnsi="Sylfaen" w:cs="Calibri"/>
                <w:b/>
                <w:bCs/>
                <w:color w:val="000000"/>
                <w:sz w:val="18"/>
                <w:szCs w:val="20"/>
                <w:lang w:val="ka-GE"/>
              </w:rPr>
              <w:t>9</w:t>
            </w:r>
            <w:r w:rsidRPr="001225B5">
              <w:rPr>
                <w:rFonts w:ascii="Sylfaen" w:eastAsia="Times New Roman" w:hAnsi="Sylfaen" w:cs="Calibri"/>
                <w:b/>
                <w:bCs/>
                <w:color w:val="000000"/>
                <w:sz w:val="18"/>
                <w:szCs w:val="20"/>
              </w:rPr>
              <w:t>,5</w:t>
            </w:r>
          </w:p>
        </w:tc>
        <w:tc>
          <w:tcPr>
            <w:tcW w:w="701" w:type="pct"/>
            <w:shd w:val="clear" w:color="000000" w:fill="DDEBF7"/>
            <w:noWrap/>
            <w:vAlign w:val="center"/>
            <w:hideMark/>
          </w:tcPr>
          <w:p w:rsidR="001225B5" w:rsidRPr="001225B5" w:rsidRDefault="001225B5" w:rsidP="001225B5">
            <w:pPr>
              <w:spacing w:after="0" w:line="240" w:lineRule="auto"/>
              <w:jc w:val="center"/>
              <w:rPr>
                <w:rFonts w:ascii="Sylfaen" w:eastAsia="Times New Roman" w:hAnsi="Sylfaen" w:cs="Calibri"/>
                <w:b/>
                <w:bCs/>
                <w:color w:val="000000"/>
                <w:sz w:val="18"/>
                <w:szCs w:val="20"/>
              </w:rPr>
            </w:pPr>
            <w:r w:rsidRPr="001225B5">
              <w:rPr>
                <w:rFonts w:ascii="Sylfaen" w:eastAsia="Times New Roman" w:hAnsi="Sylfaen" w:cs="Calibri"/>
                <w:b/>
                <w:bCs/>
                <w:color w:val="000000"/>
                <w:sz w:val="18"/>
                <w:szCs w:val="20"/>
              </w:rPr>
              <w:t>1 985,9</w:t>
            </w:r>
          </w:p>
        </w:tc>
      </w:tr>
    </w:tbl>
    <w:p w:rsidR="00DE05B3" w:rsidRDefault="00DE05B3" w:rsidP="001225B5">
      <w:pPr>
        <w:spacing w:after="0" w:line="276" w:lineRule="auto"/>
        <w:rPr>
          <w:rFonts w:ascii="Sylfaen" w:hAnsi="Sylfaen"/>
          <w:i/>
          <w:color w:val="000000"/>
          <w:sz w:val="18"/>
          <w:szCs w:val="18"/>
          <w:lang w:val="ka-GE"/>
        </w:rPr>
      </w:pPr>
    </w:p>
    <w:p w:rsidR="00DE05B3" w:rsidRDefault="00DE05B3" w:rsidP="00565AAE">
      <w:pPr>
        <w:spacing w:after="0" w:line="276" w:lineRule="auto"/>
        <w:jc w:val="right"/>
        <w:rPr>
          <w:rFonts w:ascii="Sylfaen" w:hAnsi="Sylfaen"/>
          <w:i/>
          <w:color w:val="000000"/>
          <w:sz w:val="18"/>
          <w:szCs w:val="18"/>
          <w:lang w:val="ka-GE"/>
        </w:rPr>
      </w:pPr>
    </w:p>
    <w:p w:rsidR="00EB3970" w:rsidRPr="00273755" w:rsidRDefault="00EB3970" w:rsidP="00EB3970">
      <w:pPr>
        <w:spacing w:after="0" w:line="276" w:lineRule="auto"/>
        <w:ind w:firstLine="720"/>
        <w:jc w:val="both"/>
        <w:rPr>
          <w:rFonts w:ascii="Sylfaen" w:hAnsi="Sylfaen" w:cs="Sylfaen"/>
          <w:b/>
          <w:i/>
          <w:color w:val="000000"/>
          <w:lang w:val="ka-GE"/>
        </w:rPr>
      </w:pPr>
      <w:r w:rsidRPr="00273755">
        <w:rPr>
          <w:rFonts w:ascii="Sylfaen" w:hAnsi="Sylfaen"/>
          <w:lang w:val="ka-GE"/>
        </w:rPr>
        <w:t>202</w:t>
      </w:r>
      <w:r w:rsidRPr="00273755">
        <w:rPr>
          <w:rFonts w:ascii="Sylfaen" w:hAnsi="Sylfaen"/>
        </w:rPr>
        <w:t>1</w:t>
      </w:r>
      <w:r w:rsidRPr="00273755">
        <w:rPr>
          <w:rFonts w:ascii="Sylfaen" w:hAnsi="Sylfaen"/>
          <w:lang w:val="ka-GE"/>
        </w:rPr>
        <w:t xml:space="preserve"> წლის 6 თვეში </w:t>
      </w:r>
      <w:r w:rsidRPr="00273755">
        <w:rPr>
          <w:rFonts w:ascii="Sylfaen" w:hAnsi="Sylfaen"/>
        </w:rPr>
        <w:t>COVID-19</w:t>
      </w:r>
      <w:r w:rsidRPr="00273755">
        <w:rPr>
          <w:rFonts w:ascii="Sylfaen" w:hAnsi="Sylfaen"/>
          <w:lang w:val="ka-GE"/>
        </w:rPr>
        <w:t xml:space="preserve"> პანდემიასთან დაკავშირებული ანტიკრიზისული გეგმის ფარგლებში განხორციელდა შემდეგი ძირითადი ღონისძიებები:</w:t>
      </w:r>
    </w:p>
    <w:p w:rsidR="00CC5F5C" w:rsidRPr="00273755" w:rsidRDefault="00CC5F5C" w:rsidP="00EB6180">
      <w:pPr>
        <w:pStyle w:val="ListParagraph"/>
        <w:numPr>
          <w:ilvl w:val="0"/>
          <w:numId w:val="7"/>
        </w:numPr>
        <w:spacing w:after="0" w:line="240" w:lineRule="auto"/>
        <w:ind w:left="360"/>
        <w:jc w:val="both"/>
        <w:rPr>
          <w:rFonts w:ascii="Sylfaen" w:hAnsi="Sylfaen"/>
          <w:color w:val="000000"/>
          <w:lang w:val="ka-GE"/>
        </w:rPr>
      </w:pPr>
      <w:r w:rsidRPr="00273755">
        <w:rPr>
          <w:rFonts w:ascii="Sylfaen" w:hAnsi="Sylfaen"/>
          <w:color w:val="000000"/>
          <w:lang w:val="ka-GE"/>
        </w:rPr>
        <w:t xml:space="preserve">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შემუშავებისა და მართვის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ეროვნული ცენტრისა და სსიპ-ჯანმრთელობის ეროვნული სააგენტოს მიერ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მათ შორის შესყიდულ იქნა ინდივიდუალური დაცვის საშუალებები, კორონავირუსის სადიაგნოსტიკო ტესტები, განხორციელდა საკარანტინე სივრცეების სასტუმრო მომსახურება/სამედიცინო მეთვალყურეობა, საკარანტინე სივრცეების სამედიცინო პერსონალით და პირველადი სამედიცინო დანიშნულების საგნებით/მედიკამენტებით უზრუნველყოფა, საეჭვო და დადასტურებელი შემთხვევის მართვა და პაციენტების სტაციონარული მკურნალობა (საკარანტინე სივრცეების სასტუმრო მომსახურება გაეწია 14.0 ათასზე მეტ ბენეფიციარს), </w:t>
      </w:r>
      <w:r w:rsidR="00273755" w:rsidRPr="00273755">
        <w:rPr>
          <w:rFonts w:ascii="Sylfaen" w:hAnsi="Sylfaen"/>
          <w:color w:val="000000"/>
          <w:lang w:val="ka-GE"/>
        </w:rPr>
        <w:t>საანგარიშო პერიოდში შესყიდულია 2 260.4 ათასამდე დოზა ვაქცინა, ხოლო ფიზიკურად ქვეყანაში შემოვიდა 31</w:t>
      </w:r>
      <w:r w:rsidR="00273755" w:rsidRPr="00273755">
        <w:rPr>
          <w:rFonts w:ascii="Sylfaen" w:hAnsi="Sylfaen"/>
          <w:color w:val="000000"/>
        </w:rPr>
        <w:t xml:space="preserve">6.8 </w:t>
      </w:r>
      <w:r w:rsidR="00273755" w:rsidRPr="00273755">
        <w:rPr>
          <w:rFonts w:ascii="Sylfaen" w:hAnsi="Sylfaen"/>
          <w:color w:val="000000"/>
          <w:lang w:val="ka-GE"/>
        </w:rPr>
        <w:t xml:space="preserve">ათასი დოზა (მათ შორის, 100.0 ათასი დონაციის სახით). სულ ზემოაღნიშნული მიზნებისათვის 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მიმართულ იქნა 425.0 მლნ ლარი;  </w:t>
      </w:r>
    </w:p>
    <w:p w:rsidR="00CC5F5C" w:rsidRPr="00DE4C64" w:rsidRDefault="00CC5F5C" w:rsidP="00CC5F5C">
      <w:pPr>
        <w:pStyle w:val="ListParagraph"/>
        <w:numPr>
          <w:ilvl w:val="0"/>
          <w:numId w:val="7"/>
        </w:numPr>
        <w:spacing w:after="0" w:line="240" w:lineRule="auto"/>
        <w:ind w:left="360"/>
        <w:jc w:val="both"/>
        <w:rPr>
          <w:rFonts w:ascii="Sylfaen" w:hAnsi="Sylfaen"/>
          <w:color w:val="000000"/>
          <w:lang w:val="ka-GE"/>
        </w:rPr>
      </w:pPr>
      <w:r w:rsidRPr="00273755">
        <w:rPr>
          <w:rFonts w:ascii="Sylfaen" w:hAnsi="Sylfaen"/>
          <w:color w:val="000000"/>
          <w:lang w:val="ka-GE"/>
        </w:rPr>
        <w:t>სსიპ - ტურიზმის ეროვნულმა ადმინისტრაციამ სავალდებულო კარანტინის ფარგლებში განახორციელა 15 503 პირის (საქართველოს მოქალაქეები (მათ</w:t>
      </w:r>
      <w:r w:rsidRPr="00DE4C64">
        <w:rPr>
          <w:rFonts w:ascii="Sylfaen" w:hAnsi="Sylfaen"/>
          <w:color w:val="000000"/>
          <w:lang w:val="ka-GE"/>
        </w:rPr>
        <w:t xml:space="preserve"> შორის ჯანდაცვის მსოფლიო ორგანიზაციის მიერ მაღალი რისკის ზონად ნომინირებული არეებიდან შემოსული საქართველოს მოქალაქეები) და უცხო ქვეყნის მოქალაქეები)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სულ ამ მიზნით საანგარიშო პერიოდში მიმართულ იქნა 11.0 მლნ ლარი;</w:t>
      </w:r>
    </w:p>
    <w:p w:rsidR="00CC5F5C" w:rsidRPr="00DE4C64" w:rsidRDefault="00CC5F5C" w:rsidP="00CC5F5C">
      <w:pPr>
        <w:pStyle w:val="ListParagraph"/>
        <w:numPr>
          <w:ilvl w:val="0"/>
          <w:numId w:val="7"/>
        </w:numPr>
        <w:spacing w:after="0" w:line="240" w:lineRule="auto"/>
        <w:ind w:left="360"/>
        <w:jc w:val="both"/>
        <w:rPr>
          <w:rFonts w:ascii="Sylfaen" w:hAnsi="Sylfaen"/>
          <w:color w:val="000000"/>
          <w:lang w:val="ka-GE"/>
        </w:rPr>
      </w:pPr>
      <w:r w:rsidRPr="00DE4C64">
        <w:rPr>
          <w:rFonts w:ascii="Sylfaen" w:hAnsi="Sylfaen"/>
          <w:color w:val="000000"/>
          <w:lang w:val="ka-GE"/>
        </w:rPr>
        <w:t>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ფარგლებში განხორციელდა საქართველოს მთავრობის მიერ დადგენილი: მოწყვლადი ჯგუფების (სოციალურად დაუცველი ოჯახები, მკვეთრად გამოხატული შეზღუდული შესაძლებლობის მქონე პირები და შეზღუდული შესაძლებლობის მქონე ბავშვები, დაქირავებით მომუშავე ფიზიკური პირები, ინდივიდუალური მეწარმეები და გადასახადის გადამხდელი ფიზიკური პირები) ფულადი დახმარების/კომპენსაციის დაფინანსება:</w:t>
      </w:r>
    </w:p>
    <w:p w:rsidR="00CC5F5C" w:rsidRPr="00DE4C64" w:rsidRDefault="00CC5F5C" w:rsidP="00CC5F5C">
      <w:pPr>
        <w:pStyle w:val="ListParagraph"/>
        <w:numPr>
          <w:ilvl w:val="0"/>
          <w:numId w:val="4"/>
        </w:numPr>
        <w:spacing w:after="0" w:line="240" w:lineRule="auto"/>
        <w:ind w:left="900"/>
        <w:jc w:val="both"/>
        <w:rPr>
          <w:rFonts w:ascii="Sylfaen" w:hAnsi="Sylfaen" w:cs="Sylfaen"/>
          <w:lang w:val="ka-GE"/>
        </w:rPr>
      </w:pPr>
      <w:r w:rsidRPr="00DE4C64">
        <w:rPr>
          <w:rFonts w:ascii="Sylfaen" w:hAnsi="Sylfaen" w:cs="Sylfaen"/>
          <w:lang w:val="ka-GE"/>
        </w:rPr>
        <w:t xml:space="preserve">სოციალურად დაუცველი ოჯახების მონაცემთა ერთიან ბაზაში რეგისტრირებული, 65 000-დან 100 000-მდე სარეიტინგო ქულის მქონე ოჯახებისთვის − ოჯახის წევრზე 35 ლარის (ერთწევრიანი ოჯახისთვის − 70 ლარის, ორწევრიანი ოჯახისთვის − 90 ლარის; საანგარიშო პერიოდში ისარგებლა </w:t>
      </w:r>
      <w:r w:rsidRPr="00DE4C64">
        <w:rPr>
          <w:rFonts w:ascii="Sylfaen" w:hAnsi="Sylfaen" w:cs="Sylfaen"/>
          <w:color w:val="000000" w:themeColor="text1"/>
          <w:lang w:val="ka-GE"/>
        </w:rPr>
        <w:t xml:space="preserve">254.9 </w:t>
      </w:r>
      <w:r w:rsidRPr="00DE4C64">
        <w:rPr>
          <w:rFonts w:ascii="Sylfaen" w:hAnsi="Sylfaen" w:cs="Sylfaen"/>
          <w:lang w:val="ka-GE"/>
        </w:rPr>
        <w:t>ათასზე მეტმა პირმა); სოციალურად დაუცველი ოჯახების მონაცემთა ერთიან ბაზაში რეგისტრირებული, 100 000-მდე სარეიტინგო ქულის მქონე ოჯახებისთვის, რომელთაც ჰყავთ 3 ან 3-ზე მეტი 16 წლის ასაკის  ჩათვლით ბავშვი, ოჯახზე 100 ლარის ოდენობით (6 თვე, საანგარიშო პერიოდში ისარგებლა 17</w:t>
      </w:r>
      <w:r w:rsidRPr="00DE4C64">
        <w:rPr>
          <w:rFonts w:ascii="Sylfaen" w:hAnsi="Sylfaen" w:cs="Sylfaen"/>
          <w:color w:val="000000" w:themeColor="text1"/>
          <w:lang w:val="ka-GE"/>
        </w:rPr>
        <w:t xml:space="preserve">2.4 </w:t>
      </w:r>
      <w:r w:rsidRPr="00DE4C64">
        <w:rPr>
          <w:rFonts w:ascii="Sylfaen" w:hAnsi="Sylfaen" w:cs="Sylfaen"/>
          <w:lang w:val="ka-GE"/>
        </w:rPr>
        <w:t>ათასზე მეტმა პირმა). სულ საანგარიშო პერიოდში მიიმართა 75.0 მლნ ლარი;</w:t>
      </w:r>
    </w:p>
    <w:p w:rsidR="00CC5F5C" w:rsidRPr="00DE4C64" w:rsidRDefault="00CC5F5C" w:rsidP="00CC5F5C">
      <w:pPr>
        <w:pStyle w:val="ListParagraph"/>
        <w:numPr>
          <w:ilvl w:val="0"/>
          <w:numId w:val="4"/>
        </w:numPr>
        <w:spacing w:after="0" w:line="240" w:lineRule="auto"/>
        <w:ind w:left="900"/>
        <w:jc w:val="both"/>
        <w:rPr>
          <w:rFonts w:ascii="Sylfaen" w:hAnsi="Sylfaen" w:cs="Sylfaen"/>
          <w:lang w:val="ka-GE"/>
        </w:rPr>
      </w:pPr>
      <w:r w:rsidRPr="00DE4C64">
        <w:rPr>
          <w:rFonts w:ascii="Sylfaen" w:hAnsi="Sylfaen" w:cs="Sylfaen"/>
          <w:lang w:val="ka-GE"/>
        </w:rPr>
        <w:t xml:space="preserve">მკვეთრად გამოხატული შეზღუდული შესაძლებლობის მქონე პირებისთვის და შეზღუდული შესაძლებლობის მქონე ბავშვებისთვის, თვეში 100 ლარის ოდენობით (6 თვე, საანგარიშო პერიოდში ისარგებლა </w:t>
      </w:r>
      <w:r w:rsidRPr="00DE4C64">
        <w:rPr>
          <w:rFonts w:ascii="Sylfaen" w:hAnsi="Sylfaen" w:cs="Sylfaen"/>
          <w:color w:val="000000" w:themeColor="text1"/>
          <w:lang w:val="ka-GE"/>
        </w:rPr>
        <w:t xml:space="preserve">45.9 ათასზე მეტმა </w:t>
      </w:r>
      <w:r w:rsidRPr="00DE4C64">
        <w:rPr>
          <w:rFonts w:ascii="Sylfaen" w:hAnsi="Sylfaen" w:cs="Sylfaen"/>
          <w:lang w:val="ka-GE"/>
        </w:rPr>
        <w:t>პირმა). სულ მიიმართა 27.3 მლნ ლარი;</w:t>
      </w:r>
    </w:p>
    <w:p w:rsidR="00CC5F5C" w:rsidRPr="00DE4C64" w:rsidRDefault="00CC5F5C" w:rsidP="00CC5F5C">
      <w:pPr>
        <w:pStyle w:val="ListParagraph"/>
        <w:numPr>
          <w:ilvl w:val="0"/>
          <w:numId w:val="4"/>
        </w:numPr>
        <w:spacing w:after="0" w:line="240" w:lineRule="auto"/>
        <w:ind w:left="900"/>
        <w:jc w:val="both"/>
        <w:rPr>
          <w:rFonts w:ascii="Sylfaen" w:hAnsi="Sylfaen" w:cs="Sylfaen"/>
          <w:lang w:val="ka-GE"/>
        </w:rPr>
      </w:pPr>
      <w:r w:rsidRPr="00DE4C64">
        <w:rPr>
          <w:rFonts w:ascii="Sylfaen" w:hAnsi="Sylfaen" w:cs="Sylfaen"/>
          <w:lang w:val="ka-GE"/>
        </w:rPr>
        <w:t>დაქირავებით მომუშავე ფიზიკური პირებისთვის ყოველთვიურად 200 ლარის ოდენობით (6 თვე, საანგარიშო პერიოდში ისარგებლა 139.6</w:t>
      </w:r>
      <w:r w:rsidRPr="00DE4C64">
        <w:rPr>
          <w:rFonts w:ascii="Sylfaen" w:hAnsi="Sylfaen" w:cs="Sylfaen"/>
          <w:color w:val="FF0000"/>
          <w:lang w:val="ka-GE"/>
        </w:rPr>
        <w:t xml:space="preserve"> </w:t>
      </w:r>
      <w:r w:rsidRPr="00DE4C64">
        <w:rPr>
          <w:rFonts w:ascii="Sylfaen" w:hAnsi="Sylfaen" w:cs="Sylfaen"/>
          <w:lang w:val="ka-GE"/>
        </w:rPr>
        <w:t>ათასზე მეტმა პირმა). ათასამდე პირზე, სულ მიმართული თანხა 142.0 მლნ ლარი;</w:t>
      </w:r>
    </w:p>
    <w:p w:rsidR="00CC5F5C" w:rsidRPr="00DE4C64" w:rsidRDefault="00CC5F5C" w:rsidP="00CC5F5C">
      <w:pPr>
        <w:pStyle w:val="ListParagraph"/>
        <w:numPr>
          <w:ilvl w:val="0"/>
          <w:numId w:val="7"/>
        </w:numPr>
        <w:spacing w:after="0" w:line="240" w:lineRule="auto"/>
        <w:ind w:left="360"/>
        <w:jc w:val="both"/>
        <w:rPr>
          <w:rFonts w:ascii="Sylfaen" w:hAnsi="Sylfaen"/>
          <w:color w:val="000000" w:themeColor="text1"/>
          <w:lang w:val="ka-GE"/>
        </w:rPr>
      </w:pPr>
      <w:r w:rsidRPr="00DE4C64">
        <w:rPr>
          <w:rFonts w:ascii="Sylfaen" w:hAnsi="Sylfaen"/>
          <w:color w:val="000000" w:themeColor="text1"/>
          <w:lang w:val="ka-GE"/>
        </w:rPr>
        <w:t>ახალი კორონავირუსით (COVID-19) გამოწვეული სოციალურ-ეკონომიკური მდგომარეობის გაუარესების გამო 2021 წელს გაგრძელდა მოსახლეობის სოციალური დახმარება კომუნალური გადასახადების სუბსიდირებით, კერძოდ: ელექტროენერგიის 200 კილოვატ/საათი ან 200 კილოვატ/საათზე ნაკლები მოცულობის, ბუნებრივი გაზის 200 მ³ ან 200 მ³-ზე ნაკლები მოცულობის, სასმელი წყლის/წყალარინების და დასუფთავების მოსაკრებლის  გადასახადის სუბსიდირება (იანვარ - თებერვალი). გარდა ამისა, განხორციელდა 2021 წლის იანვრიდან ელექტროენერგიაზე გაზრდილი ტარიფის სუბსიდირება (იანვარ - მაისი) საყოფაცხოვრებო მომხმარებლისათვის ტარიფის ზრდის სრული ოდენობით 200 კილოვატ/საათზე მეტ, მაგრამ არა უმეტეს 301 კილოვატ/საათის მოცულობაზე</w:t>
      </w:r>
      <w:r w:rsidRPr="00DE4C64">
        <w:rPr>
          <w:rFonts w:ascii="Sylfaen" w:hAnsi="Sylfaen"/>
          <w:color w:val="000000" w:themeColor="text1"/>
        </w:rPr>
        <w:t>.</w:t>
      </w:r>
      <w:r w:rsidRPr="00DE4C64">
        <w:rPr>
          <w:rFonts w:ascii="Sylfaen" w:hAnsi="Sylfaen"/>
          <w:color w:val="000000" w:themeColor="text1"/>
          <w:lang w:val="ka-GE"/>
        </w:rPr>
        <w:t xml:space="preserve"> საანგარიშო პერიოდში აღნიშნული მიზნებისთვის საქართველოს ეკონომიკისა და მდგრადი განვითარების სამინისტროს მიერ  მიმართულ იქნა სულ 10</w:t>
      </w:r>
      <w:r w:rsidRPr="00DE4C64">
        <w:rPr>
          <w:rFonts w:ascii="Sylfaen" w:hAnsi="Sylfaen"/>
          <w:color w:val="000000" w:themeColor="text1"/>
        </w:rPr>
        <w:t xml:space="preserve">1.6 </w:t>
      </w:r>
      <w:r w:rsidRPr="00DE4C64">
        <w:rPr>
          <w:rFonts w:ascii="Sylfaen" w:hAnsi="Sylfaen"/>
          <w:color w:val="000000" w:themeColor="text1"/>
          <w:lang w:val="ka-GE"/>
        </w:rPr>
        <w:t xml:space="preserve">მლნ ლარი (მათ შორის: კომუნალური გადასახადების სუბსიდირება - 83.2 მლნ ლარი; ელექტროენერგიაზე გაზრდილი ტარიფის სუბსიდირება - </w:t>
      </w:r>
      <w:r w:rsidRPr="00DE4C64">
        <w:rPr>
          <w:rFonts w:ascii="Sylfaen" w:hAnsi="Sylfaen"/>
          <w:color w:val="000000" w:themeColor="text1"/>
        </w:rPr>
        <w:t>18.4</w:t>
      </w:r>
      <w:r w:rsidRPr="00DE4C64">
        <w:rPr>
          <w:rFonts w:ascii="Sylfaen" w:hAnsi="Sylfaen"/>
          <w:color w:val="000000" w:themeColor="text1"/>
          <w:lang w:val="ka-GE"/>
        </w:rPr>
        <w:t xml:space="preserve"> მლნ ლარი)</w:t>
      </w:r>
      <w:r w:rsidRPr="00DE4C64">
        <w:rPr>
          <w:rFonts w:ascii="Sylfaen" w:hAnsi="Sylfaen"/>
          <w:color w:val="000000" w:themeColor="text1"/>
        </w:rPr>
        <w:t>;</w:t>
      </w:r>
    </w:p>
    <w:p w:rsidR="00CC5F5C" w:rsidRPr="00DE4C64" w:rsidRDefault="00CC5F5C" w:rsidP="00CC5F5C">
      <w:pPr>
        <w:pStyle w:val="ListParagraph"/>
        <w:numPr>
          <w:ilvl w:val="0"/>
          <w:numId w:val="7"/>
        </w:numPr>
        <w:spacing w:after="0" w:line="240" w:lineRule="auto"/>
        <w:ind w:left="360"/>
        <w:jc w:val="both"/>
        <w:rPr>
          <w:rFonts w:ascii="Sylfaen" w:hAnsi="Sylfaen"/>
          <w:color w:val="000000" w:themeColor="text1"/>
          <w:lang w:val="ka-GE"/>
        </w:rPr>
      </w:pPr>
      <w:r w:rsidRPr="00DE4C64">
        <w:rPr>
          <w:rFonts w:ascii="Sylfaen" w:hAnsi="Sylfaen"/>
          <w:color w:val="000000"/>
          <w:lang w:val="ka-GE"/>
        </w:rPr>
        <w:t xml:space="preserve">საქართველოს საჯარო სკოლებისათვის დარიგებულია 758.4 ათასი ერთეული პირბადე და 71.8 ათასი ერთეული (5 ლიტრიანი) ხელის სადეზინფექციო საშუალება. ასევე, საჯარო სკოლებში განსახორციელებელ სადენზიფექციო სამუშაოებთან დაკავშირებით შეძენილია 10.4 ათასი ლიტრი სადენზიფექციო კონცენტრატი (იატაკის) .შესყიდულია 10 000 ცალი უკონტაქტო ელექტრო თერმომეტრი და 450 ცალი დეზობარიერი (დარიგებულია 263 საჯარო სკოლაში); </w:t>
      </w:r>
    </w:p>
    <w:p w:rsidR="00CC5F5C" w:rsidRPr="00DE4C64" w:rsidRDefault="00CC5F5C" w:rsidP="00CC5F5C">
      <w:pPr>
        <w:pStyle w:val="ListParagraph"/>
        <w:numPr>
          <w:ilvl w:val="0"/>
          <w:numId w:val="7"/>
        </w:numPr>
        <w:spacing w:after="0" w:line="240" w:lineRule="auto"/>
        <w:ind w:left="360"/>
        <w:jc w:val="both"/>
        <w:rPr>
          <w:rFonts w:ascii="Sylfaen" w:hAnsi="Sylfaen"/>
          <w:color w:val="000000"/>
          <w:lang w:val="ka-GE"/>
        </w:rPr>
      </w:pPr>
      <w:r w:rsidRPr="00DE4C64">
        <w:rPr>
          <w:rFonts w:ascii="Sylfaen" w:hAnsi="Sylfaen"/>
          <w:color w:val="000000"/>
          <w:lang w:val="ka-GE"/>
        </w:rPr>
        <w:t xml:space="preserve">შერიგებისა და სამოქალაქო თანასწორობის საკითხებში საქართველოს სახელმწიფო მინისტრის აპარატმა ახალი კორონავირუსის (COVID-19) ოკუპირებულ ტერიტორიებზე გავრცელების პრევენციის, ასევე, მასთან ბრძოლის მიზნით განახორციელა ოკუპირებულ რეგიონებში მცხოვრები მოსახლეობისთვის დახმარების აღმოჩენა, მათ შორის საქართველოს კონტროლირებად ტერიტორიაზე პაციენტების მკურნალობის გზით 192 კოვიდ - ინფიცირებულ ადამიანს გაეწია სამედიცინო მომსახურება; </w:t>
      </w:r>
    </w:p>
    <w:p w:rsidR="00CC5F5C" w:rsidRPr="00DE4C64" w:rsidRDefault="00CC5F5C" w:rsidP="00CC5F5C">
      <w:pPr>
        <w:pStyle w:val="ListParagraph"/>
        <w:numPr>
          <w:ilvl w:val="0"/>
          <w:numId w:val="7"/>
        </w:numPr>
        <w:spacing w:after="0" w:line="240" w:lineRule="auto"/>
        <w:ind w:left="360"/>
        <w:jc w:val="both"/>
        <w:rPr>
          <w:rFonts w:ascii="Sylfaen" w:hAnsi="Sylfaen"/>
          <w:color w:val="000000"/>
          <w:lang w:val="ka-GE"/>
        </w:rPr>
      </w:pPr>
      <w:r w:rsidRPr="00DE4C64">
        <w:rPr>
          <w:rFonts w:ascii="Sylfaen" w:hAnsi="Sylfaen"/>
          <w:color w:val="000000"/>
          <w:lang w:val="ka-GE"/>
        </w:rPr>
        <w:t>COVID - 19 პანდემიის შედეგების შემსუბუქების მიზნით, სოციალური დახმარების ფაგლებში, საოკუპაციო ხაზთან მდებარე კონფლიქტით დაზარალებულ ობოლ და შშმ ბავშვებს გადაეცათ ჰიგიენური საშუალებებისა და საკვები პროდუქტების 322 კალათა;</w:t>
      </w:r>
    </w:p>
    <w:p w:rsidR="00CC5F5C" w:rsidRPr="00DE4C64" w:rsidRDefault="00CC5F5C" w:rsidP="00CC5F5C">
      <w:pPr>
        <w:pStyle w:val="ListParagraph"/>
        <w:numPr>
          <w:ilvl w:val="0"/>
          <w:numId w:val="7"/>
        </w:numPr>
        <w:spacing w:after="0" w:line="240" w:lineRule="auto"/>
        <w:ind w:left="360"/>
        <w:jc w:val="both"/>
        <w:rPr>
          <w:rFonts w:ascii="Sylfaen" w:hAnsi="Sylfaen"/>
          <w:color w:val="000000"/>
          <w:lang w:val="ka-GE"/>
        </w:rPr>
      </w:pPr>
      <w:r w:rsidRPr="00DE4C64">
        <w:rPr>
          <w:rFonts w:ascii="Sylfaen" w:hAnsi="Sylfaen"/>
          <w:color w:val="000000"/>
          <w:lang w:val="ka-GE"/>
        </w:rPr>
        <w:t>საკოორდინაციო მექანიზმის საშუალებით, აფხაზეთის რეგიონს მიეწოდა საჭირო სამედიცინო საშუალებები, მათ შორის სწრაფი ტესტები, იმუნიზაციის ვაქცინები, დიაბეტის წამლები, ტუბერკულოზის საწინააღმდეგო ანტიბიოტიკები და აივ/შიდსის საწინააღმდეგო მედიკამენტები;</w:t>
      </w:r>
    </w:p>
    <w:p w:rsidR="00CC5F5C" w:rsidRPr="00DE4C64" w:rsidRDefault="00CC5F5C" w:rsidP="00CC5F5C">
      <w:pPr>
        <w:pStyle w:val="ListParagraph"/>
        <w:numPr>
          <w:ilvl w:val="0"/>
          <w:numId w:val="7"/>
        </w:numPr>
        <w:spacing w:after="0" w:line="240" w:lineRule="auto"/>
        <w:ind w:left="360"/>
        <w:jc w:val="both"/>
        <w:rPr>
          <w:rFonts w:ascii="Sylfaen" w:hAnsi="Sylfaen"/>
          <w:color w:val="000000" w:themeColor="text1"/>
          <w:lang w:val="ka-GE"/>
        </w:rPr>
      </w:pPr>
      <w:r w:rsidRPr="00DE4C64">
        <w:rPr>
          <w:rFonts w:ascii="Sylfaen" w:hAnsi="Sylfaen"/>
          <w:color w:val="000000" w:themeColor="text1"/>
          <w:lang w:val="ka-GE"/>
        </w:rPr>
        <w:t xml:space="preserve">ახალი კორონავირუსის (COVID-19) გავრცელებიდან გამომდინარე ეკონომიკის წინაშე არსებული ახალი გამოწვევების საპასუხოდ </w:t>
      </w:r>
      <w:r w:rsidRPr="00DE4C64">
        <w:rPr>
          <w:rFonts w:ascii="Sylfaen" w:hAnsi="Sylfaen" w:cs="Sylfaen"/>
          <w:color w:val="000000" w:themeColor="text1"/>
          <w:lang w:val="ka-GE"/>
        </w:rPr>
        <w:t xml:space="preserve">2021 წლის ბოლომდე </w:t>
      </w:r>
      <w:r w:rsidRPr="00DE4C64">
        <w:rPr>
          <w:rFonts w:ascii="Sylfaen" w:hAnsi="Sylfaen"/>
          <w:color w:val="000000" w:themeColor="text1"/>
          <w:lang w:val="ka-GE"/>
        </w:rPr>
        <w:t>გაგრძელდა გარდამავალი პირობები ბიზნესის მხარდაჭერის არსებულ პროგრამაში - საკრედიტო საგარანტიო სქემა. აგრეთვე, გაგრძელდა სამშენებლო სექტორის ხელშეწყობის პროგრამა და შემუშავდა ბიზნესის ხელშეწყობის დამატებითი ეფექტური მექანიზმები სარესტორნო ინდუსტრიის მიმართულებით. დაემატა სპორტული ობიექტებისა და საბავშვო ბაღების ხელშემწყობი პროგრამა. საანგარიშო პერიოდში აღნიშნული პროგრამების ფარგლებში განხორციელდა შემდეგი ღონისძიებები:</w:t>
      </w:r>
    </w:p>
    <w:p w:rsidR="00CC5F5C" w:rsidRDefault="00CC5F5C" w:rsidP="00CC5F5C">
      <w:pPr>
        <w:pStyle w:val="ListParagraph"/>
        <w:numPr>
          <w:ilvl w:val="0"/>
          <w:numId w:val="4"/>
        </w:numPr>
        <w:spacing w:after="0" w:line="240" w:lineRule="auto"/>
        <w:jc w:val="both"/>
        <w:rPr>
          <w:rFonts w:ascii="Sylfaen" w:hAnsi="Sylfaen" w:cs="Sylfaen"/>
          <w:color w:val="000000" w:themeColor="text1"/>
          <w:lang w:val="ka-GE"/>
        </w:rPr>
      </w:pPr>
      <w:r w:rsidRPr="00DE4C64">
        <w:rPr>
          <w:rFonts w:ascii="Sylfaen" w:hAnsi="Sylfaen" w:cs="Sylfaen"/>
          <w:color w:val="000000" w:themeColor="text1"/>
          <w:lang w:val="ka-GE"/>
        </w:rPr>
        <w:t xml:space="preserve">სამშენებლო სექტორის ხელშემწყობი პროგრამის ფარგლებში 3 859 ბენეფიციარის </w:t>
      </w:r>
      <w:r w:rsidRPr="00DE4C64">
        <w:rPr>
          <w:rFonts w:ascii="Sylfaen" w:hAnsi="Sylfaen"/>
          <w:color w:val="000000" w:themeColor="text1"/>
          <w:lang w:val="ka-GE"/>
        </w:rPr>
        <w:t>პროცენტის</w:t>
      </w:r>
      <w:r w:rsidRPr="00DE4C64">
        <w:rPr>
          <w:rFonts w:ascii="Sylfaen" w:hAnsi="Sylfaen" w:cs="Calibri"/>
          <w:color w:val="000000" w:themeColor="text1"/>
          <w:lang w:val="ka-GE"/>
        </w:rPr>
        <w:t xml:space="preserve"> </w:t>
      </w:r>
      <w:r w:rsidRPr="00DE4C64">
        <w:rPr>
          <w:rFonts w:ascii="Sylfaen" w:hAnsi="Sylfaen"/>
          <w:color w:val="000000" w:themeColor="text1"/>
          <w:lang w:val="ka-GE"/>
        </w:rPr>
        <w:t>სუბსიდირებისათვის</w:t>
      </w:r>
      <w:r w:rsidRPr="00DE4C64">
        <w:rPr>
          <w:rFonts w:ascii="Sylfaen" w:hAnsi="Sylfaen" w:cs="Calibri"/>
          <w:color w:val="000000" w:themeColor="text1"/>
          <w:lang w:val="ka-GE"/>
        </w:rPr>
        <w:t xml:space="preserve"> </w:t>
      </w:r>
      <w:r w:rsidRPr="00DE4C64">
        <w:rPr>
          <w:rFonts w:ascii="Sylfaen" w:hAnsi="Sylfaen" w:cs="Sylfaen"/>
          <w:color w:val="000000" w:themeColor="text1"/>
          <w:lang w:val="ka-GE"/>
        </w:rPr>
        <w:t>კომერციულ ბანკებში გადაირიცხა 2.9 მლნ ლარი;</w:t>
      </w:r>
    </w:p>
    <w:p w:rsidR="00F361C3" w:rsidRPr="00F361C3" w:rsidRDefault="00F361C3" w:rsidP="00F361C3">
      <w:pPr>
        <w:pStyle w:val="ListParagraph"/>
        <w:numPr>
          <w:ilvl w:val="0"/>
          <w:numId w:val="4"/>
        </w:numPr>
        <w:spacing w:after="0" w:line="240" w:lineRule="auto"/>
        <w:jc w:val="both"/>
        <w:rPr>
          <w:rFonts w:ascii="Sylfaen" w:hAnsi="Sylfaen" w:cs="Sylfaen"/>
          <w:color w:val="000000" w:themeColor="text1"/>
          <w:lang w:val="ka-GE"/>
        </w:rPr>
      </w:pPr>
      <w:r w:rsidRPr="00F361C3">
        <w:rPr>
          <w:rFonts w:ascii="Sylfaen" w:hAnsi="Sylfaen" w:cs="Sylfaen"/>
          <w:color w:val="000000" w:themeColor="text1"/>
          <w:lang w:val="ka-GE"/>
        </w:rPr>
        <w:t>მიკრო და მცირე მეწარმეობის ხელშეწყობის პროგრამის ფარგლებში დაფინანსდა 552 ბენეფიციარი და თანადაფინანსების თანხამ შეადგინა 10.6 მლნ ლარი.</w:t>
      </w:r>
    </w:p>
    <w:p w:rsidR="00CC5F5C" w:rsidRPr="00DE4C64" w:rsidRDefault="00CC5F5C" w:rsidP="00CC5F5C">
      <w:pPr>
        <w:pStyle w:val="ListParagraph"/>
        <w:numPr>
          <w:ilvl w:val="0"/>
          <w:numId w:val="4"/>
        </w:numPr>
        <w:spacing w:after="0" w:line="240" w:lineRule="auto"/>
        <w:jc w:val="both"/>
        <w:rPr>
          <w:rFonts w:ascii="Sylfaen" w:hAnsi="Sylfaen" w:cs="Sylfaen"/>
          <w:color w:val="000000" w:themeColor="text1"/>
          <w:lang w:val="ka-GE"/>
        </w:rPr>
      </w:pPr>
      <w:r w:rsidRPr="00DE4C64">
        <w:rPr>
          <w:rFonts w:ascii="Sylfaen" w:hAnsi="Sylfaen" w:cs="Sylfaen"/>
          <w:color w:val="000000" w:themeColor="text1"/>
          <w:lang w:val="ka-GE"/>
        </w:rPr>
        <w:t>საკრედიტო-საგარანტიო სქემის ფარგლებში ბენეფიციარებზე გაფორმებული ხელშეკრულებების შესაბამისად, 2020 წლის ბოლოს სსიპ - აწარმოე საქართველოში სააგენტოს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აღნიშნული ხელშეკრულებების მიხედვით გაცემული ტრანშების შესამისად განხორციელდა საგარანტიო თანების განთავსება  დეპოზიტებზე 58 ბენეფიციარისათვის 13.4 მლნ ლარის ოდენობით, ხოლო 2021 წლის სახელმწიფო ბიუჯეტით გამოყოფილი ასიგნებებიდან - 49 ბენეფიციარისათვის 10.2 მლნ ლარის ოდენობით;</w:t>
      </w:r>
    </w:p>
    <w:p w:rsidR="00CC5F5C" w:rsidRPr="00DE4C64" w:rsidRDefault="00CC5F5C" w:rsidP="00CC5F5C">
      <w:pPr>
        <w:pStyle w:val="ListParagraph"/>
        <w:numPr>
          <w:ilvl w:val="0"/>
          <w:numId w:val="4"/>
        </w:numPr>
        <w:spacing w:after="0" w:line="240" w:lineRule="auto"/>
        <w:jc w:val="both"/>
        <w:rPr>
          <w:rFonts w:ascii="Sylfaen" w:hAnsi="Sylfaen" w:cs="Sylfaen"/>
          <w:color w:val="000000" w:themeColor="text1"/>
          <w:lang w:val="ka-GE"/>
        </w:rPr>
      </w:pPr>
      <w:r w:rsidRPr="00DE4C64">
        <w:rPr>
          <w:rFonts w:ascii="Sylfaen" w:hAnsi="Sylfaen" w:cs="Sylfaen"/>
          <w:color w:val="000000" w:themeColor="text1"/>
          <w:lang w:val="ka-GE"/>
        </w:rPr>
        <w:t>ყველაზე მეტად დაზარალებული ტურიზმის სექტორის მხარდაჭერისა და გაჯანსაღებისათვის მცირე, საშუალო და საოჯახო სასტუმრო ინდუსტრიის ხელშეწყობის მიმართულებით 14 ბენეფიციარისათვის კომერციულ ბანკებში გადაირიცხა 0.1 მლნ ლარი. აგრეთვე, ღონისძიების ორგანიზების ინდუსტრიის მხარდაჭერის მიმართულებით 12 ბენეფიციარისათვის კომერციულ ბანკებში გადაირიცხა 1.8  მლნ ლარი, სარესტორნო ინდუსტრიის ხელშეწყობის მიმართულებით - 385 ბენეფიციარისათვის 4.5 მლნ ლარი, ხოლო სპორტული ობიექტების და საბავშვო ბაღების ხელშეწყობის პროგრამის მიმართულებით - 63 ბენეფიციარისათვის 0.9  მლნ ლარი.</w:t>
      </w:r>
      <w:r w:rsidRPr="00DE4C64">
        <w:rPr>
          <w:rFonts w:ascii="Sylfaen" w:hAnsi="Sylfaen" w:cs="Sylfaen"/>
          <w:color w:val="000000" w:themeColor="text1"/>
        </w:rPr>
        <w:t xml:space="preserve"> </w:t>
      </w:r>
      <w:r w:rsidRPr="00DE4C64">
        <w:rPr>
          <w:rFonts w:ascii="Sylfaen" w:hAnsi="Sylfaen"/>
          <w:color w:val="000000" w:themeColor="text1"/>
          <w:lang w:val="ka-GE"/>
        </w:rPr>
        <w:t xml:space="preserve">საანგარიშო პერიოდში აღნიშნული მიზნებისთვის მიმართულ იქნა სულ 7.3 მლნ ლარი </w:t>
      </w:r>
      <w:r w:rsidRPr="00DE4C64">
        <w:rPr>
          <w:rFonts w:ascii="Sylfaen" w:hAnsi="Sylfaen" w:cs="Sylfaen"/>
          <w:color w:val="000000" w:themeColor="text1"/>
          <w:lang w:val="ka-GE"/>
        </w:rPr>
        <w:t>სსიპ - აწარმოე საქართველოში სააგენტოს საკუთარი შემოსულობების ანგარიშ</w:t>
      </w:r>
      <w:r w:rsidRPr="00DE4C64">
        <w:rPr>
          <w:rFonts w:ascii="Sylfaen" w:hAnsi="Sylfaen" w:cs="Sylfaen"/>
          <w:lang w:val="ka-GE"/>
        </w:rPr>
        <w:t>იდან</w:t>
      </w:r>
      <w:r w:rsidRPr="00DE4C64">
        <w:rPr>
          <w:rFonts w:ascii="Sylfaen" w:hAnsi="Sylfaen" w:cs="Sylfaen"/>
          <w:color w:val="000000" w:themeColor="text1"/>
          <w:lang w:val="ka-GE"/>
        </w:rPr>
        <w:t>;</w:t>
      </w:r>
    </w:p>
    <w:p w:rsidR="00CC5F5C" w:rsidRPr="00DE4C64" w:rsidRDefault="00CC5F5C" w:rsidP="00CC5F5C">
      <w:pPr>
        <w:pStyle w:val="ListParagraph"/>
        <w:numPr>
          <w:ilvl w:val="0"/>
          <w:numId w:val="7"/>
        </w:numPr>
        <w:spacing w:after="0" w:line="240" w:lineRule="auto"/>
        <w:ind w:left="360"/>
        <w:jc w:val="both"/>
        <w:rPr>
          <w:rFonts w:ascii="Sylfaen" w:hAnsi="Sylfaen"/>
          <w:color w:val="000000"/>
          <w:lang w:val="ka-GE"/>
        </w:rPr>
      </w:pPr>
      <w:r w:rsidRPr="00DE4C64">
        <w:rPr>
          <w:rFonts w:ascii="Sylfaen" w:hAnsi="Sylfaen"/>
          <w:color w:val="000000"/>
          <w:lang w:val="ka-GE"/>
        </w:rPr>
        <w:t>საქართველოს მთავრობის მიერ დამტკიცებული პროგრამის ფარგლებში, რომლის მიზანია პირველადი მოხმარების სასურსათო პროდუქტებზე არსებული საცალო სარეალიზაციო ფასების შენარჩუნება, საანგარიშო პერიოდში ხელშეკრულება გაფორმდა 8 კომპანიასთან, ხელშეკრულებით განსაზღვრული დასასუბსიდირებელი ფქვილის მოცულობამ შეადგინა 50 000 ტონა, ხოლო მიმართული იქნა 12.8 მლნ ლარი;</w:t>
      </w:r>
    </w:p>
    <w:p w:rsidR="00CC5F5C" w:rsidRDefault="00CC5F5C" w:rsidP="00CC5F5C">
      <w:pPr>
        <w:pStyle w:val="ListParagraph"/>
        <w:numPr>
          <w:ilvl w:val="0"/>
          <w:numId w:val="7"/>
        </w:numPr>
        <w:spacing w:after="0" w:line="240" w:lineRule="auto"/>
        <w:ind w:left="360"/>
        <w:jc w:val="both"/>
        <w:rPr>
          <w:rFonts w:ascii="Sylfaen" w:hAnsi="Sylfaen"/>
          <w:color w:val="000000"/>
          <w:lang w:val="ka-GE"/>
        </w:rPr>
      </w:pPr>
      <w:r w:rsidRPr="00DE4C64">
        <w:rPr>
          <w:rFonts w:ascii="Sylfaen" w:hAnsi="Sylfaen"/>
          <w:color w:val="000000"/>
          <w:lang w:val="ka-GE"/>
        </w:rPr>
        <w:t>საქართველოს მთავრობის მიერ განსაზღვრული წესების შესაბამისად საანგარიშო პერიოდში სასოფლო-სამეურნეო დანიშნულების მიწის ნაკვეთების მესაკუთრეთა ხელშეწყობის სახელმწიფო პროგრამაში ჩართული იქნა 12 638 ფერმერი, შესაბამისად ბარათზე დარიცხული ქულების/სუბსიდიის თანხიდან ათვისებული</w:t>
      </w:r>
      <w:r w:rsidRPr="00315A2A">
        <w:rPr>
          <w:rFonts w:ascii="Sylfaen" w:hAnsi="Sylfaen"/>
          <w:color w:val="000000"/>
          <w:lang w:val="ka-GE"/>
        </w:rPr>
        <w:t xml:space="preserve"> სუბსიდიის ოდენობამ შეადგინა </w:t>
      </w:r>
      <w:r>
        <w:rPr>
          <w:rFonts w:ascii="Sylfaen" w:hAnsi="Sylfaen"/>
          <w:color w:val="000000"/>
          <w:lang w:val="ka-GE"/>
        </w:rPr>
        <w:t>2.1</w:t>
      </w:r>
      <w:r w:rsidRPr="00315A2A">
        <w:rPr>
          <w:rFonts w:ascii="Sylfaen" w:hAnsi="Sylfaen"/>
          <w:color w:val="000000"/>
          <w:lang w:val="ka-GE"/>
        </w:rPr>
        <w:t xml:space="preserve"> მლნ ლარი; </w:t>
      </w:r>
    </w:p>
    <w:p w:rsidR="00CC5F5C" w:rsidRPr="005C1C21" w:rsidRDefault="00CC5F5C" w:rsidP="00CC5F5C">
      <w:pPr>
        <w:pStyle w:val="ListParagraph"/>
        <w:numPr>
          <w:ilvl w:val="0"/>
          <w:numId w:val="7"/>
        </w:numPr>
        <w:spacing w:after="0" w:line="240" w:lineRule="auto"/>
        <w:ind w:left="360"/>
        <w:jc w:val="both"/>
        <w:rPr>
          <w:rFonts w:ascii="Sylfaen" w:hAnsi="Sylfaen"/>
          <w:color w:val="000000"/>
          <w:lang w:val="ka-GE"/>
        </w:rPr>
      </w:pPr>
      <w:r w:rsidRPr="005C1C21">
        <w:rPr>
          <w:rFonts w:ascii="Sylfaen" w:hAnsi="Sylfaen"/>
          <w:color w:val="000000"/>
          <w:lang w:val="ka-GE"/>
        </w:rPr>
        <w:t>საანგარიშო პერიოდში სურსათის მწარმოებლებისთვის ელექტრონერგიაზე ტარიფის ზრდის 50%-ის სუბსიდირების მიზნით საქართველოს ეკონომიკისა და მდგრადი განვითარების სამინისტროს ხაზით მიმართული იყო 3.7 მლნ ლარი;</w:t>
      </w:r>
    </w:p>
    <w:p w:rsidR="00CC5F5C" w:rsidRDefault="00CC5F5C" w:rsidP="00CC5F5C">
      <w:pPr>
        <w:pStyle w:val="ListParagraph"/>
        <w:numPr>
          <w:ilvl w:val="0"/>
          <w:numId w:val="7"/>
        </w:numPr>
        <w:spacing w:after="0" w:line="240" w:lineRule="auto"/>
        <w:ind w:left="360"/>
        <w:jc w:val="both"/>
        <w:rPr>
          <w:rFonts w:ascii="Sylfaen" w:hAnsi="Sylfaen"/>
          <w:color w:val="000000"/>
          <w:lang w:val="ka-GE"/>
        </w:rPr>
      </w:pPr>
      <w:r w:rsidRPr="008B3885">
        <w:rPr>
          <w:rFonts w:ascii="Sylfaen" w:hAnsi="Sylfaen"/>
          <w:color w:val="000000"/>
          <w:lang w:val="ka-GE"/>
        </w:rPr>
        <w:t xml:space="preserve">საანგარიში პერიოდში </w:t>
      </w:r>
      <w:r w:rsidRPr="008B3885">
        <w:rPr>
          <w:rFonts w:ascii="Sylfaen" w:hAnsi="Sylfaen"/>
          <w:color w:val="000000"/>
        </w:rPr>
        <w:t>222.8</w:t>
      </w:r>
      <w:r w:rsidRPr="008B3885">
        <w:rPr>
          <w:rFonts w:ascii="Sylfaen" w:hAnsi="Sylfaen"/>
          <w:color w:val="000000"/>
          <w:lang w:val="ka-GE"/>
        </w:rPr>
        <w:t xml:space="preserve"> მლნ ლარი საშემოსავლო გადასახადის  შეღავათის (ხელფასის პირველი 750 ლარზე) სარგებელი მიიღო ბიზნესმა იმ დამსაქმებელებზე, რომელთა ხელფასიც არ აღემატება 1500 ლარს</w:t>
      </w:r>
      <w:r>
        <w:rPr>
          <w:rFonts w:ascii="Sylfaen" w:hAnsi="Sylfaen"/>
          <w:color w:val="000000"/>
        </w:rPr>
        <w:t xml:space="preserve">, </w:t>
      </w:r>
      <w:r>
        <w:rPr>
          <w:rFonts w:ascii="Sylfaen" w:hAnsi="Sylfaen"/>
          <w:color w:val="000000"/>
          <w:lang w:val="ka-GE"/>
        </w:rPr>
        <w:t>ხოლო სულ 2020 წლის მაისიდან - 539.0 მლნ ლარი.</w:t>
      </w:r>
    </w:p>
    <w:p w:rsidR="00D92315" w:rsidRDefault="00D92315" w:rsidP="00CC5F5C">
      <w:pPr>
        <w:pStyle w:val="ListParagraph"/>
        <w:numPr>
          <w:ilvl w:val="0"/>
          <w:numId w:val="7"/>
        </w:numPr>
        <w:spacing w:after="0" w:line="240" w:lineRule="auto"/>
        <w:ind w:left="360"/>
        <w:jc w:val="both"/>
        <w:rPr>
          <w:rFonts w:ascii="Sylfaen" w:hAnsi="Sylfaen"/>
          <w:color w:val="000000"/>
          <w:lang w:val="ka-GE"/>
        </w:rPr>
      </w:pPr>
      <w:r>
        <w:rPr>
          <w:rFonts w:ascii="Sylfaen" w:hAnsi="Sylfaen"/>
          <w:color w:val="000000"/>
          <w:lang w:val="ka-GE"/>
        </w:rPr>
        <w:t>საგადასახადო შეღავათებით განარგძობს სარგებლობას ტურიზმის სექტორი, 2021 წლისთვის საორიენტაციოდ 40 მლნ ლარის ღირებულებით;</w:t>
      </w:r>
    </w:p>
    <w:p w:rsidR="00D92315" w:rsidRPr="008B3885" w:rsidRDefault="00D92315" w:rsidP="00CC5F5C">
      <w:pPr>
        <w:pStyle w:val="ListParagraph"/>
        <w:numPr>
          <w:ilvl w:val="0"/>
          <w:numId w:val="7"/>
        </w:numPr>
        <w:spacing w:after="0" w:line="240" w:lineRule="auto"/>
        <w:ind w:left="360"/>
        <w:jc w:val="both"/>
        <w:rPr>
          <w:rFonts w:ascii="Sylfaen" w:hAnsi="Sylfaen"/>
          <w:color w:val="000000"/>
          <w:lang w:val="ka-GE"/>
        </w:rPr>
      </w:pPr>
      <w:r>
        <w:rPr>
          <w:rFonts w:ascii="Sylfaen" w:hAnsi="Sylfaen"/>
          <w:color w:val="000000"/>
          <w:lang w:val="ka-GE"/>
        </w:rPr>
        <w:t>მეწარმეების მიერ ზედმეტად გადახდილი გადასახადების დაბრუნების ავტომატური სქემის გათვალისწინებით საანგარიშო პერიოდში დაბრუნებული 920 მლნ ლარზე მეტი, ხოლო წლის ბოლომდე მოსალოდნელია 1700 მლნ ლარამდე ზედმეტად გადახდილი გადასახადის დაბრუნება.</w:t>
      </w:r>
    </w:p>
    <w:p w:rsidR="00EB3970" w:rsidRPr="00EE1ECF" w:rsidRDefault="00EB3970" w:rsidP="00565AAE">
      <w:pPr>
        <w:spacing w:after="0" w:line="276" w:lineRule="auto"/>
        <w:jc w:val="both"/>
        <w:rPr>
          <w:rFonts w:ascii="Sylfaen" w:hAnsi="Sylfaen" w:cs="Sylfaen"/>
          <w:b/>
          <w:i/>
          <w:color w:val="000000"/>
          <w:highlight w:val="yellow"/>
          <w:lang w:val="ka-GE"/>
        </w:rPr>
      </w:pPr>
    </w:p>
    <w:sectPr w:rsidR="00EB3970" w:rsidRPr="00EE1ECF" w:rsidSect="002E3AF6">
      <w:footerReference w:type="default" r:id="rId10"/>
      <w:type w:val="continuous"/>
      <w:pgSz w:w="12240" w:h="15840"/>
      <w:pgMar w:top="568" w:right="758"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124" w:rsidRDefault="00887124" w:rsidP="000C5F19">
      <w:pPr>
        <w:spacing w:after="0" w:line="240" w:lineRule="auto"/>
      </w:pPr>
      <w:r>
        <w:separator/>
      </w:r>
    </w:p>
  </w:endnote>
  <w:endnote w:type="continuationSeparator" w:id="0">
    <w:p w:rsidR="00887124" w:rsidRDefault="00887124" w:rsidP="000C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108136"/>
      <w:docPartObj>
        <w:docPartGallery w:val="Page Numbers (Bottom of Page)"/>
        <w:docPartUnique/>
      </w:docPartObj>
    </w:sdtPr>
    <w:sdtEndPr>
      <w:rPr>
        <w:noProof/>
      </w:rPr>
    </w:sdtEndPr>
    <w:sdtContent>
      <w:p w:rsidR="002E3AF6" w:rsidRDefault="002E3AF6">
        <w:pPr>
          <w:pStyle w:val="Footer"/>
          <w:jc w:val="right"/>
        </w:pPr>
        <w:r>
          <w:fldChar w:fldCharType="begin"/>
        </w:r>
        <w:r>
          <w:instrText xml:space="preserve"> PAGE   \* MERGEFORMAT </w:instrText>
        </w:r>
        <w:r>
          <w:fldChar w:fldCharType="separate"/>
        </w:r>
        <w:r w:rsidR="003B4F8A">
          <w:rPr>
            <w:noProof/>
          </w:rPr>
          <w:t>7</w:t>
        </w:r>
        <w:r>
          <w:rPr>
            <w:noProof/>
          </w:rPr>
          <w:fldChar w:fldCharType="end"/>
        </w:r>
      </w:p>
    </w:sdtContent>
  </w:sdt>
  <w:p w:rsidR="002E3AF6" w:rsidRDefault="002E3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124" w:rsidRDefault="00887124" w:rsidP="000C5F19">
      <w:pPr>
        <w:spacing w:after="0" w:line="240" w:lineRule="auto"/>
      </w:pPr>
      <w:r>
        <w:separator/>
      </w:r>
    </w:p>
  </w:footnote>
  <w:footnote w:type="continuationSeparator" w:id="0">
    <w:p w:rsidR="00887124" w:rsidRDefault="00887124" w:rsidP="000C5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4EC9"/>
    <w:multiLevelType w:val="hybridMultilevel"/>
    <w:tmpl w:val="939EB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0B57241"/>
    <w:multiLevelType w:val="hybridMultilevel"/>
    <w:tmpl w:val="DA8A667C"/>
    <w:lvl w:ilvl="0" w:tplc="0419000B">
      <w:start w:val="1"/>
      <w:numFmt w:val="bullet"/>
      <w:lvlText w:val=""/>
      <w:lvlJc w:val="left"/>
      <w:pPr>
        <w:ind w:left="1080" w:hanging="360"/>
      </w:pPr>
      <w:rPr>
        <w:rFonts w:ascii="Wingdings" w:hAnsi="Wingdings" w:hint="default"/>
      </w:rPr>
    </w:lvl>
    <w:lvl w:ilvl="1" w:tplc="04090003">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3"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 w15:restartNumberingAfterBreak="0">
    <w:nsid w:val="301D08A2"/>
    <w:multiLevelType w:val="hybridMultilevel"/>
    <w:tmpl w:val="0734A922"/>
    <w:lvl w:ilvl="0" w:tplc="BC00CF3E">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2649E"/>
    <w:multiLevelType w:val="hybridMultilevel"/>
    <w:tmpl w:val="88C8DAA4"/>
    <w:lvl w:ilvl="0" w:tplc="88DA82C0">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D0603F6"/>
    <w:multiLevelType w:val="hybridMultilevel"/>
    <w:tmpl w:val="56C0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0"/>
  </w:num>
  <w:num w:numId="6">
    <w:abstractNumId w:val="4"/>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19"/>
    <w:rsid w:val="00003B02"/>
    <w:rsid w:val="00017743"/>
    <w:rsid w:val="00022E98"/>
    <w:rsid w:val="00030D90"/>
    <w:rsid w:val="00034955"/>
    <w:rsid w:val="000A0019"/>
    <w:rsid w:val="000C5F19"/>
    <w:rsid w:val="001225B5"/>
    <w:rsid w:val="001345DF"/>
    <w:rsid w:val="00137400"/>
    <w:rsid w:val="001A173B"/>
    <w:rsid w:val="001C6F9D"/>
    <w:rsid w:val="001E2350"/>
    <w:rsid w:val="001E71EB"/>
    <w:rsid w:val="00210FF6"/>
    <w:rsid w:val="00234C34"/>
    <w:rsid w:val="00253096"/>
    <w:rsid w:val="00273755"/>
    <w:rsid w:val="002A094C"/>
    <w:rsid w:val="002A4E1E"/>
    <w:rsid w:val="002E3AF6"/>
    <w:rsid w:val="002F0883"/>
    <w:rsid w:val="00312E05"/>
    <w:rsid w:val="00327024"/>
    <w:rsid w:val="003477C3"/>
    <w:rsid w:val="003779F9"/>
    <w:rsid w:val="003B4F8A"/>
    <w:rsid w:val="003C4E23"/>
    <w:rsid w:val="004041BB"/>
    <w:rsid w:val="004148C8"/>
    <w:rsid w:val="004221F2"/>
    <w:rsid w:val="004354A1"/>
    <w:rsid w:val="004A63B3"/>
    <w:rsid w:val="004D1CBB"/>
    <w:rsid w:val="00511612"/>
    <w:rsid w:val="00565AAE"/>
    <w:rsid w:val="005C12F1"/>
    <w:rsid w:val="006408E4"/>
    <w:rsid w:val="00720F91"/>
    <w:rsid w:val="00727970"/>
    <w:rsid w:val="0075280B"/>
    <w:rsid w:val="00766483"/>
    <w:rsid w:val="007F074E"/>
    <w:rsid w:val="00887124"/>
    <w:rsid w:val="008E4045"/>
    <w:rsid w:val="008E6D6C"/>
    <w:rsid w:val="00925E4F"/>
    <w:rsid w:val="00966F0F"/>
    <w:rsid w:val="009B5EB5"/>
    <w:rsid w:val="009D5707"/>
    <w:rsid w:val="00A06D42"/>
    <w:rsid w:val="00A92266"/>
    <w:rsid w:val="00AA11CA"/>
    <w:rsid w:val="00AE74F8"/>
    <w:rsid w:val="00B10D51"/>
    <w:rsid w:val="00B4075E"/>
    <w:rsid w:val="00B62AFC"/>
    <w:rsid w:val="00B95F34"/>
    <w:rsid w:val="00BA3C00"/>
    <w:rsid w:val="00BA61EC"/>
    <w:rsid w:val="00BD2C93"/>
    <w:rsid w:val="00C90C5E"/>
    <w:rsid w:val="00CC5F5C"/>
    <w:rsid w:val="00CF2486"/>
    <w:rsid w:val="00D57001"/>
    <w:rsid w:val="00D712B4"/>
    <w:rsid w:val="00D92315"/>
    <w:rsid w:val="00DC675F"/>
    <w:rsid w:val="00DD0956"/>
    <w:rsid w:val="00DE05B3"/>
    <w:rsid w:val="00E52348"/>
    <w:rsid w:val="00E70516"/>
    <w:rsid w:val="00EB1431"/>
    <w:rsid w:val="00EB3970"/>
    <w:rsid w:val="00ED3711"/>
    <w:rsid w:val="00EE1ECF"/>
    <w:rsid w:val="00F361C3"/>
    <w:rsid w:val="00FB3484"/>
    <w:rsid w:val="00FC54C7"/>
    <w:rsid w:val="00FE01B9"/>
    <w:rsid w:val="00FF1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DAF50"/>
  <w15:chartTrackingRefBased/>
  <w15:docId w15:val="{72F523D1-08E8-4FA4-82E4-01DBAE24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F19"/>
  </w:style>
  <w:style w:type="paragraph" w:styleId="Heading1">
    <w:name w:val="heading 1"/>
    <w:basedOn w:val="Normal"/>
    <w:next w:val="Normal"/>
    <w:link w:val="Heading1Char"/>
    <w:uiPriority w:val="9"/>
    <w:qFormat/>
    <w:rsid w:val="000C5F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5F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0C5F19"/>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0C5F19"/>
  </w:style>
  <w:style w:type="paragraph" w:customStyle="1" w:styleId="Normal0">
    <w:name w:val="[Normal]"/>
    <w:uiPriority w:val="99"/>
    <w:rsid w:val="000C5F19"/>
    <w:pPr>
      <w:autoSpaceDE w:val="0"/>
      <w:autoSpaceDN w:val="0"/>
      <w:adjustRightInd w:val="0"/>
      <w:spacing w:after="0" w:line="240" w:lineRule="auto"/>
    </w:pPr>
    <w:rPr>
      <w:rFonts w:ascii="Arial" w:eastAsia="Times New Roman" w:hAnsi="Arial" w:cs="Arial"/>
      <w:sz w:val="24"/>
      <w:szCs w:val="24"/>
      <w:lang w:val="ru-RU" w:eastAsia="ru-RU"/>
    </w:rPr>
  </w:style>
  <w:style w:type="paragraph" w:styleId="FootnoteText">
    <w:name w:val="footnote text"/>
    <w:basedOn w:val="Normal"/>
    <w:link w:val="FootnoteTextChar"/>
    <w:uiPriority w:val="99"/>
    <w:semiHidden/>
    <w:unhideWhenUsed/>
    <w:rsid w:val="000C5F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5F19"/>
    <w:rPr>
      <w:sz w:val="20"/>
      <w:szCs w:val="20"/>
    </w:rPr>
  </w:style>
  <w:style w:type="character" w:styleId="FootnoteReference">
    <w:name w:val="footnote reference"/>
    <w:basedOn w:val="DefaultParagraphFont"/>
    <w:uiPriority w:val="99"/>
    <w:semiHidden/>
    <w:unhideWhenUsed/>
    <w:rsid w:val="000C5F19"/>
    <w:rPr>
      <w:vertAlign w:val="superscript"/>
    </w:rPr>
  </w:style>
  <w:style w:type="character" w:customStyle="1" w:styleId="Heading1Char">
    <w:name w:val="Heading 1 Char"/>
    <w:basedOn w:val="DefaultParagraphFont"/>
    <w:link w:val="Heading1"/>
    <w:uiPriority w:val="9"/>
    <w:rsid w:val="000C5F1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C5F1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664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483"/>
    <w:rPr>
      <w:rFonts w:ascii="Segoe UI" w:hAnsi="Segoe UI" w:cs="Segoe UI"/>
      <w:sz w:val="18"/>
      <w:szCs w:val="18"/>
    </w:rPr>
  </w:style>
  <w:style w:type="paragraph" w:styleId="Header">
    <w:name w:val="header"/>
    <w:basedOn w:val="Normal"/>
    <w:link w:val="HeaderChar"/>
    <w:uiPriority w:val="99"/>
    <w:unhideWhenUsed/>
    <w:rsid w:val="002F0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883"/>
  </w:style>
  <w:style w:type="paragraph" w:styleId="Footer">
    <w:name w:val="footer"/>
    <w:basedOn w:val="Normal"/>
    <w:link w:val="FooterChar"/>
    <w:uiPriority w:val="99"/>
    <w:unhideWhenUsed/>
    <w:rsid w:val="002F0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883"/>
  </w:style>
  <w:style w:type="character" w:styleId="Hyperlink">
    <w:name w:val="Hyperlink"/>
    <w:basedOn w:val="DefaultParagraphFont"/>
    <w:uiPriority w:val="99"/>
    <w:semiHidden/>
    <w:unhideWhenUsed/>
    <w:rsid w:val="00DE05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080">
      <w:bodyDiv w:val="1"/>
      <w:marLeft w:val="0"/>
      <w:marRight w:val="0"/>
      <w:marTop w:val="0"/>
      <w:marBottom w:val="0"/>
      <w:divBdr>
        <w:top w:val="none" w:sz="0" w:space="0" w:color="auto"/>
        <w:left w:val="none" w:sz="0" w:space="0" w:color="auto"/>
        <w:bottom w:val="none" w:sz="0" w:space="0" w:color="auto"/>
        <w:right w:val="none" w:sz="0" w:space="0" w:color="auto"/>
      </w:divBdr>
    </w:div>
    <w:div w:id="221403655">
      <w:bodyDiv w:val="1"/>
      <w:marLeft w:val="0"/>
      <w:marRight w:val="0"/>
      <w:marTop w:val="0"/>
      <w:marBottom w:val="0"/>
      <w:divBdr>
        <w:top w:val="none" w:sz="0" w:space="0" w:color="auto"/>
        <w:left w:val="none" w:sz="0" w:space="0" w:color="auto"/>
        <w:bottom w:val="none" w:sz="0" w:space="0" w:color="auto"/>
        <w:right w:val="none" w:sz="0" w:space="0" w:color="auto"/>
      </w:divBdr>
    </w:div>
    <w:div w:id="331101963">
      <w:bodyDiv w:val="1"/>
      <w:marLeft w:val="0"/>
      <w:marRight w:val="0"/>
      <w:marTop w:val="0"/>
      <w:marBottom w:val="0"/>
      <w:divBdr>
        <w:top w:val="none" w:sz="0" w:space="0" w:color="auto"/>
        <w:left w:val="none" w:sz="0" w:space="0" w:color="auto"/>
        <w:bottom w:val="none" w:sz="0" w:space="0" w:color="auto"/>
        <w:right w:val="none" w:sz="0" w:space="0" w:color="auto"/>
      </w:divBdr>
    </w:div>
    <w:div w:id="1100875232">
      <w:bodyDiv w:val="1"/>
      <w:marLeft w:val="0"/>
      <w:marRight w:val="0"/>
      <w:marTop w:val="0"/>
      <w:marBottom w:val="0"/>
      <w:divBdr>
        <w:top w:val="none" w:sz="0" w:space="0" w:color="auto"/>
        <w:left w:val="none" w:sz="0" w:space="0" w:color="auto"/>
        <w:bottom w:val="none" w:sz="0" w:space="0" w:color="auto"/>
        <w:right w:val="none" w:sz="0" w:space="0" w:color="auto"/>
      </w:divBdr>
    </w:div>
    <w:div w:id="1283731422">
      <w:bodyDiv w:val="1"/>
      <w:marLeft w:val="0"/>
      <w:marRight w:val="0"/>
      <w:marTop w:val="0"/>
      <w:marBottom w:val="0"/>
      <w:divBdr>
        <w:top w:val="none" w:sz="0" w:space="0" w:color="auto"/>
        <w:left w:val="none" w:sz="0" w:space="0" w:color="auto"/>
        <w:bottom w:val="none" w:sz="0" w:space="0" w:color="auto"/>
        <w:right w:val="none" w:sz="0" w:space="0" w:color="auto"/>
      </w:divBdr>
    </w:div>
    <w:div w:id="1797945518">
      <w:bodyDiv w:val="1"/>
      <w:marLeft w:val="0"/>
      <w:marRight w:val="0"/>
      <w:marTop w:val="0"/>
      <w:marBottom w:val="0"/>
      <w:divBdr>
        <w:top w:val="none" w:sz="0" w:space="0" w:color="auto"/>
        <w:left w:val="none" w:sz="0" w:space="0" w:color="auto"/>
        <w:bottom w:val="none" w:sz="0" w:space="0" w:color="auto"/>
        <w:right w:val="none" w:sz="0" w:space="0" w:color="auto"/>
      </w:divBdr>
    </w:div>
    <w:div w:id="1914117773">
      <w:bodyDiv w:val="1"/>
      <w:marLeft w:val="0"/>
      <w:marRight w:val="0"/>
      <w:marTop w:val="0"/>
      <w:marBottom w:val="0"/>
      <w:divBdr>
        <w:top w:val="none" w:sz="0" w:space="0" w:color="auto"/>
        <w:left w:val="none" w:sz="0" w:space="0" w:color="auto"/>
        <w:bottom w:val="none" w:sz="0" w:space="0" w:color="auto"/>
        <w:right w:val="none" w:sz="0" w:space="0" w:color="auto"/>
      </w:divBdr>
    </w:div>
    <w:div w:id="1915889070">
      <w:bodyDiv w:val="1"/>
      <w:marLeft w:val="0"/>
      <w:marRight w:val="0"/>
      <w:marTop w:val="0"/>
      <w:marBottom w:val="0"/>
      <w:divBdr>
        <w:top w:val="none" w:sz="0" w:space="0" w:color="auto"/>
        <w:left w:val="none" w:sz="0" w:space="0" w:color="auto"/>
        <w:bottom w:val="none" w:sz="0" w:space="0" w:color="auto"/>
        <w:right w:val="none" w:sz="0" w:space="0" w:color="auto"/>
      </w:divBdr>
    </w:div>
    <w:div w:id="199753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Yuri\Desktop\6%20tve%202021\EKA%20Copy%20of%202021%205%20monthsN%20and%20COVID.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Yuri\Desktop\6%20tve%202021\EKA%20Copy%20of%202021%205%20monthsN%20and%20COVID.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92809-EFDF-4AD5-9006-5337FC3AB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3197</Words>
  <Characters>18229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Ekaterine Guntsadze</dc:creator>
  <cp:keywords/>
  <dc:description/>
  <cp:lastModifiedBy>Natia Gulua</cp:lastModifiedBy>
  <cp:revision>8</cp:revision>
  <cp:lastPrinted>2021-08-17T14:35:00Z</cp:lastPrinted>
  <dcterms:created xsi:type="dcterms:W3CDTF">2021-07-29T16:40:00Z</dcterms:created>
  <dcterms:modified xsi:type="dcterms:W3CDTF">2021-08-17T14:35:00Z</dcterms:modified>
</cp:coreProperties>
</file>